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V2.5（燃气管道泄漏与渗水监测版）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需求基线已确认，可进入实施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保留干燥管廊外部渗水/积水演示；设置燃气管道预设裂缝点，监测甲烷、CO、烟雾和氧气，异常场景采用受控信号模拟，不在教室释放危险气体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至少覆盖温度、湿度、甲烷、CO、烟雾、氧气、积水/水位、门磁和设备运行状态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SQLite（WAL模式）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单机演示足够、部署简单、便于备份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若后续多用户/云部署再迁移PostgreSQL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展示电脑本地服务 + 局域网热点/路由器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互联网不可用时仍能演示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云部署作为后续增强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展示内部管线和联动，不让观众接触滴水盘与电路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隐藏电源分配和控制箱；B区设置独立高边接水盘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需求基线、场景、尺寸、BOM、接口v0.1、采购下单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STM32读取首批传感器；控制风机/灯/声光报警；Web骨架和三维白模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MQTT、后端入库、WebSocket、三维映射；加工文件下单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燃气管道泄漏、管廊渗水/积水、温度、烟感、设备故障至少4个场景贯通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实体台架已能真实读取甲烷、CO、氧气、温度、水浸/水位和至少一个设备反馈。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已能真实控制风机、照明和声光报警中的核心设备。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燃气管道泄漏和管廊渗水/积水两个强制场景完成三维定位、报警、联动、确认、工单、恢复和关闭。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8月27日后新增范围必须填写变更记录，包含原因、收益、工作量、对9月10日和9月30日的影响、替代项和批准人。任何影响强制场景、三维定位、真实联动或安全的变更不得口头执行。非核心美化、云功能和高级统计必须排在最终验收之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变更控制；云、AI、UWB和移动端列入后续，不进入核心路径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Broker配置、后端、数据库迁移、Web前端和启动脚本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安装、启动、配置、备份、恢复、演示和故障处理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1.44寸OLED显示屏（实物接口：GND/VCC/SCL/SDA/RES/DC/CS/BLK）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按实物接口预留SPI；上电确认驱动芯片、VCC、背光及初始化参数。它是本地辅助界面，不替代Web三维界面。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实体样品、STM32控制、真实传感、Web三维与完整运维流程</dc:subject>
  <dc:creator>综合管廊项目组</dc:creator>
  <cp:keywords>综合管廊, STM32, 数字孪生, 物联网, 三维可视化, 运维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