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V2.9（1 m实体尺寸冻结版）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工程二审完成；1 m实体外形、内部净空、分区尺寸与水电隔离方案按本版冻结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实施技术栈以本节技术选型表为准。图2保留为分层与数据流概念图，其中早期的Vue/Express/SQLite文字已由V2.7统一为React/Fastify/PostgreSQL，不再作为实施依据。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ESP-AT（本地MQTT）+ 本地网关转发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STM32经UART接入本地Broker；网关负责与华为云IoTDA的安全上行。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ESP-AT不作为IoTDA MQTTS直连终端；如必须设备直连，改用经验证支持TLS的通信模块。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+ Fastify + MQTT适配层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与当前仓库实现一致；提供鉴权、告警、工单、审计和实时推送。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不在MVP引入微服务、集群或云端复杂规则引擎。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浏览器本地演示数据 + PostgreSQL（本地/API与华为云RDS）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与当前平台一致；PostgreSQL是正式业务数据的唯一主数据库。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删除SQLite正式数据表述；RDS只允许私网TLS连接。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+ TypeScript + Vinext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与当前仓库实现一致，保留本地演示与API数据源切换。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文档、部署说明和答辩材料必须同步，不再保留Vue 3表述。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统一为React、Fastify、PostgreSQL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ESP-AT非阻塞状态机、重连、心跳、cmdId去重、命令过期和回执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STM32→本地MQTT→Fastify/PostgreSQL→React/三维→工单→回执真实贯通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STM32→ESP8266→本地Mosquitto→Fastify/PostgreSQL→React→三维→工单完成真实链路运行。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V2.8</dc:title>
  <dc:subject>1 m实体样品尺寸冻结、数字孪生与运维闭环</dc:subject>
  <dc:creator>综合管廊项目组</dc:creator>
  <cp:keywords>综合管廊, STM32, 数字孪生, 物联网, 三维可视化, 运维</cp:keywords>
  <dc:description>V2.7：依据工程二审修正MVP、接口、电源与云端接入边界。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