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40"/>
        </w:rPr>
        <w:t>泉州市：运用“三个三”工作法 让农村集体“钱袋子”鼓起来</w:t>
      </w:r>
    </w:p>
    <w:tbl>
      <w:tblPr>
        <w:tblW w:type="auto" w:w="0"/>
        <w:jc w:val="center"/>
        <w:tblLook w:firstColumn="1" w:firstRow="1" w:lastColumn="0" w:lastRow="0" w:noHBand="0" w:noVBand="1" w:val="04A0"/>
      </w:tblPr>
      <w:tblGrid>
        <w:gridCol w:w="4896"/>
        <w:gridCol w:w="4896"/>
      </w:tblGrid>
      <w:tr>
        <w:tc>
          <w:tcPr>
            <w:tcW w:type="dxa" w:w="4896"/>
            <w:shd w:fill="E7EEF8"/>
            <w:vAlign w:val="center"/>
            <w:tcMar>
              <w:top w:w="100" w:type="dxa"/>
              <w:start w:w="120" w:type="dxa"/>
              <w:bottom w:w="100" w:type="dxa"/>
              <w:end w:w="120" w:type="dxa"/>
            </w:tcMar>
          </w:tcPr>
          <w:p>
            <w:pPr>
              <w:spacing w:after="0"/>
            </w:pPr>
            <w:r>
              <w:rPr>
                <w:rFonts w:ascii="SimHei" w:hAnsi="SimHei" w:eastAsia="SimHei"/>
                <w:b/>
                <w:sz w:val="21"/>
              </w:rPr>
              <w:t>发布来源</w:t>
            </w:r>
          </w:p>
        </w:tc>
        <w:tc>
          <w:tcPr>
            <w:tcW w:type="dxa" w:w="4896"/>
            <w:vAlign w:val="center"/>
            <w:tcMar>
              <w:top w:w="100" w:type="dxa"/>
              <w:start w:w="120" w:type="dxa"/>
              <w:bottom w:w="100" w:type="dxa"/>
              <w:end w:w="120" w:type="dxa"/>
            </w:tcMar>
          </w:tcPr>
          <w:p>
            <w:pPr>
              <w:spacing w:after="0"/>
            </w:pPr>
            <w:r>
              <w:rPr>
                <w:rFonts w:ascii="SimSun" w:hAnsi="SimSun" w:eastAsia="SimSun"/>
                <w:b w:val="0"/>
                <w:sz w:val="21"/>
              </w:rPr>
              <w:t>泉州市农业农村局（发布于福建省农业农村厅官网）</w:t>
            </w:r>
          </w:p>
        </w:tc>
      </w:tr>
      <w:tr>
        <w:tc>
          <w:tcPr>
            <w:tcW w:type="dxa" w:w="4896"/>
            <w:shd w:fill="E7EEF8"/>
            <w:vAlign w:val="center"/>
            <w:tcMar>
              <w:top w:w="100" w:type="dxa"/>
              <w:start w:w="120" w:type="dxa"/>
              <w:bottom w:w="100" w:type="dxa"/>
              <w:end w:w="120" w:type="dxa"/>
            </w:tcMar>
          </w:tcPr>
          <w:p>
            <w:pPr>
              <w:spacing w:after="0"/>
            </w:pPr>
            <w:r>
              <w:rPr>
                <w:rFonts w:ascii="SimHei" w:hAnsi="SimHei" w:eastAsia="SimHei"/>
                <w:b/>
                <w:sz w:val="21"/>
              </w:rPr>
              <w:t>发布日期</w:t>
            </w:r>
          </w:p>
        </w:tc>
        <w:tc>
          <w:tcPr>
            <w:tcW w:type="dxa" w:w="4896"/>
            <w:vAlign w:val="center"/>
            <w:tcMar>
              <w:top w:w="100" w:type="dxa"/>
              <w:start w:w="120" w:type="dxa"/>
              <w:bottom w:w="100" w:type="dxa"/>
              <w:end w:w="120" w:type="dxa"/>
            </w:tcMar>
          </w:tcPr>
          <w:p>
            <w:pPr>
              <w:spacing w:after="0"/>
            </w:pPr>
            <w:r>
              <w:rPr>
                <w:rFonts w:ascii="SimSun" w:hAnsi="SimSun" w:eastAsia="SimSun"/>
                <w:b w:val="0"/>
                <w:sz w:val="21"/>
              </w:rPr>
              <w:t>2026年5月26日</w:t>
            </w:r>
          </w:p>
        </w:tc>
      </w:tr>
      <w:tr>
        <w:tc>
          <w:tcPr>
            <w:tcW w:type="dxa" w:w="4896"/>
            <w:shd w:fill="E7EEF8"/>
            <w:vAlign w:val="center"/>
            <w:tcMar>
              <w:top w:w="100" w:type="dxa"/>
              <w:start w:w="120" w:type="dxa"/>
              <w:bottom w:w="100" w:type="dxa"/>
              <w:end w:w="120" w:type="dxa"/>
            </w:tcMar>
          </w:tcPr>
          <w:p>
            <w:pPr>
              <w:spacing w:after="0"/>
            </w:pPr>
            <w:r>
              <w:rPr>
                <w:rFonts w:ascii="SimHei" w:hAnsi="SimHei" w:eastAsia="SimHei"/>
                <w:b/>
                <w:sz w:val="21"/>
              </w:rPr>
              <w:t>官方链接</w:t>
            </w:r>
          </w:p>
        </w:tc>
        <w:tc>
          <w:tcPr>
            <w:tcW w:type="dxa" w:w="4896"/>
            <w:vAlign w:val="center"/>
            <w:tcMar>
              <w:top w:w="100" w:type="dxa"/>
              <w:start w:w="120" w:type="dxa"/>
              <w:bottom w:w="100" w:type="dxa"/>
              <w:end w:w="120" w:type="dxa"/>
            </w:tcMar>
          </w:tcPr>
          <w:p>
            <w:pPr>
              <w:spacing w:after="0"/>
            </w:pPr>
            <w:r>
              <w:rPr>
                <w:rFonts w:ascii="SimSun" w:hAnsi="SimSun" w:eastAsia="SimSun"/>
                <w:b w:val="0"/>
                <w:sz w:val="21"/>
              </w:rPr>
              <w:t>https://nynct.fujian.gov.cn/ztzl/zzcsqjtszglbgfhtbgfgbzczybwczydwtwhqzly/zzap/202605/t20260526_7152501.htm</w:t>
            </w:r>
          </w:p>
        </w:tc>
      </w:tr>
      <w:tr>
        <w:tc>
          <w:tcPr>
            <w:tcW w:type="dxa" w:w="4896"/>
            <w:shd w:fill="E7EEF8"/>
            <w:vAlign w:val="center"/>
            <w:tcMar>
              <w:top w:w="100" w:type="dxa"/>
              <w:start w:w="120" w:type="dxa"/>
              <w:bottom w:w="100" w:type="dxa"/>
              <w:end w:w="120" w:type="dxa"/>
            </w:tcMar>
          </w:tcPr>
          <w:p>
            <w:pPr>
              <w:spacing w:after="0"/>
            </w:pPr>
            <w:r>
              <w:rPr>
                <w:rFonts w:ascii="SimHei" w:hAnsi="SimHei" w:eastAsia="SimHei"/>
                <w:b/>
                <w:sz w:val="21"/>
              </w:rPr>
              <w:t>可用于起草</w:t>
            </w:r>
          </w:p>
        </w:tc>
        <w:tc>
          <w:tcPr>
            <w:tcW w:type="dxa" w:w="4896"/>
            <w:vAlign w:val="center"/>
            <w:tcMar>
              <w:top w:w="100" w:type="dxa"/>
              <w:start w:w="120" w:type="dxa"/>
              <w:bottom w:w="100" w:type="dxa"/>
              <w:end w:w="120" w:type="dxa"/>
            </w:tcMar>
          </w:tcPr>
          <w:p>
            <w:pPr>
              <w:spacing w:after="0"/>
            </w:pPr>
            <w:r>
              <w:rPr>
                <w:rFonts w:ascii="SimSun" w:hAnsi="SimSun" w:eastAsia="SimSun"/>
                <w:b w:val="0"/>
                <w:sz w:val="21"/>
              </w:rPr>
              <w:t>最新泉州实践：8728、挂图销号、村级工程、劳务用工、平台和组财监管</w:t>
            </w:r>
          </w:p>
        </w:tc>
      </w:tr>
    </w:tbl>
    <w:p/>
    <w:p>
      <w:pPr>
        <w:spacing w:line="360" w:lineRule="auto" w:after="100"/>
        <w:ind w:firstLine="480"/>
        <w:jc w:val="both"/>
      </w:pPr>
      <w:r>
        <w:rPr>
          <w:rFonts w:ascii="SimSun" w:hAnsi="SimSun" w:eastAsia="SimSun"/>
          <w:b w:val="0"/>
          <w:sz w:val="24"/>
        </w:rPr>
        <w:t>泉州市聚力农村集体“三资”管理突出问题整治，创新“8728”工作举措、农村产权流转进交易平台、银农直联无现金结算，构建“村组管理运营、乡镇监管在前、部门跟进指导、纪巡贯通协同、平台数据赋能”工作格局，有效守护农村集体“三资”家底。2026年以来，全市清查整改“三资”问题2240个，收回资金及资产超1800万元；农村产权流转交易额突破18.73亿元，为村集体增收节支超1.15亿元。经验做法在全省农业农村系统作交流发言，获中央纪委国家监委集体嘉奖表彰。</w:t>
      </w:r>
    </w:p>
    <w:p>
      <w:pPr>
        <w:pStyle w:val="Heading1"/>
        <w:keepNext/>
      </w:pPr>
      <w:r>
        <w:rPr>
          <w:rFonts w:ascii="SimHei" w:hAnsi="SimHei" w:eastAsia="SimHei"/>
          <w:b/>
          <w:sz w:val="30"/>
        </w:rPr>
        <w:t>一、机制革新“三步走”，变“被动兜底”为“主动监管”</w:t>
      </w:r>
    </w:p>
    <w:p>
      <w:pPr>
        <w:spacing w:line="360" w:lineRule="auto" w:after="100"/>
        <w:ind w:firstLine="480"/>
        <w:jc w:val="both"/>
      </w:pPr>
      <w:r>
        <w:rPr>
          <w:rFonts w:ascii="SimSun" w:hAnsi="SimSun" w:eastAsia="SimSun"/>
          <w:b w:val="0"/>
          <w:sz w:val="24"/>
        </w:rPr>
        <w:t>高位统筹“一张图”。出台《2026年深化农村集体“三资”管理突出问题整治工作方案》，在原有“5321”整治经验基础上迭代升级，创新“8728”工作举措，即8个整治重点、7项工作机制、2个整治“小切口”和8项工作指标。通过召开集中整治调度会、实地督导检查等方式压茬推进，同步充实工作专班力量，确保责任到人、任务落地。</w:t>
      </w:r>
    </w:p>
    <w:p>
      <w:pPr>
        <w:spacing w:line="360" w:lineRule="auto" w:after="100"/>
        <w:ind w:firstLine="480"/>
        <w:jc w:val="both"/>
      </w:pPr>
      <w:r>
        <w:rPr>
          <w:rFonts w:ascii="SimSun" w:hAnsi="SimSun" w:eastAsia="SimSun"/>
          <w:b w:val="0"/>
          <w:sz w:val="24"/>
        </w:rPr>
        <w:t>挂图销号“一本账”。结合村级组织换届离任审计、信息化平台巡查预警等，开展全方位、拉网式排查，对排查出的问题建立动态整改台账，实行销号管理。2026年以来，全市化解村级债务金额1931.77万元，帮扶项目资产确权移交到村8685项、金额22.25亿元。</w:t>
      </w:r>
    </w:p>
    <w:p>
      <w:pPr>
        <w:spacing w:line="360" w:lineRule="auto" w:after="100"/>
        <w:ind w:firstLine="480"/>
        <w:jc w:val="both"/>
      </w:pPr>
      <w:r>
        <w:rPr>
          <w:rFonts w:ascii="SimSun" w:hAnsi="SimSun" w:eastAsia="SimSun"/>
          <w:b w:val="0"/>
          <w:sz w:val="24"/>
        </w:rPr>
        <w:t>闭环管理“一条链”。出台《泉州市农村产权流转交易市场建设实施方案》《泉州市农村产权流转交易管理办法》，依托市级农村产权流转交易平台，将10类农村集体产权交易品种全部纳入平台流转，形成“一站式”交易格局。创新“六规范两统一”机制，实现从入场登记到统一鉴证、公开公示的全链条闭环管理。截至目前，累计入场项目11242宗，成交6706宗。</w:t>
      </w:r>
    </w:p>
    <w:p>
      <w:pPr>
        <w:pStyle w:val="Heading1"/>
        <w:keepNext/>
      </w:pPr>
      <w:r>
        <w:rPr>
          <w:rFonts w:ascii="SimHei" w:hAnsi="SimHei" w:eastAsia="SimHei"/>
          <w:b/>
          <w:sz w:val="30"/>
        </w:rPr>
        <w:t>二、靶向破题“三切口”，变“大水漫灌”为“精准滴灌”</w:t>
      </w:r>
    </w:p>
    <w:p>
      <w:pPr>
        <w:spacing w:line="360" w:lineRule="auto" w:after="100"/>
        <w:ind w:firstLine="480"/>
        <w:jc w:val="both"/>
      </w:pPr>
      <w:r>
        <w:rPr>
          <w:rFonts w:ascii="SimSun" w:hAnsi="SimSun" w:eastAsia="SimSun"/>
          <w:b w:val="0"/>
          <w:sz w:val="24"/>
        </w:rPr>
        <w:t>给小型工程戴上“紧箍咒”，全流程“阳光直播”。总结惠安县农村小型工程管理试点经验，推广“阳光工程”二维码、“阳光直播”等经验做法，引导全市农村集体工程项目入市交易，推进农村产权流转交易平台与村级工程项目监督管理平台联通，推动村级小型工程全过程监督管理水平提升。</w:t>
      </w:r>
    </w:p>
    <w:p>
      <w:pPr>
        <w:spacing w:line="360" w:lineRule="auto" w:after="100"/>
        <w:ind w:firstLine="480"/>
        <w:jc w:val="both"/>
      </w:pPr>
      <w:r>
        <w:rPr>
          <w:rFonts w:ascii="SimSun" w:hAnsi="SimSun" w:eastAsia="SimSun"/>
          <w:b w:val="0"/>
          <w:sz w:val="24"/>
        </w:rPr>
        <w:t>给宅基地审批装上“智慧眼”，全链条“数字留痕”。以提升群众便利性和获得感为原则，增设完善农村宅基地线上审批和监管模块，联动市县乡三级农村宅基地审批和批后监管实地核查工作，重点清查村级组织对村民申请是否延时拒办、资格审核是否到位、会议决策是否合法合规、信息是否主动公开、指标分配是否民主公平、日常巡查监管是否到位等，进一步规范村级农村宅基地审批。</w:t>
      </w:r>
    </w:p>
    <w:p>
      <w:pPr>
        <w:spacing w:line="360" w:lineRule="auto" w:after="100"/>
        <w:ind w:firstLine="480"/>
        <w:jc w:val="both"/>
      </w:pPr>
      <w:r>
        <w:rPr>
          <w:rFonts w:ascii="SimSun" w:hAnsi="SimSun" w:eastAsia="SimSun"/>
          <w:b w:val="0"/>
          <w:sz w:val="24"/>
        </w:rPr>
        <w:t>给劳务用工亮出“标准尺”，全要素“三单结算”。出台《泉州市关于村级劳务用工管理的若干措施（试行）》，聚焦群众反映强烈的“人情用工”“用工标准不统一”“报销手续不完整”“套取村级劳务资金”等突出问题，加强摸底排查，建立整改台账，实行动态管理、对账销号。在全市所有行政村全覆盖推广村集体资金使用无现金结算的“银农直联”方式，推行“一卡通”发放，杜绝现金支付漏洞，有效制止虚列劳务用工人数套取资金现象。</w:t>
      </w:r>
    </w:p>
    <w:p>
      <w:pPr>
        <w:pStyle w:val="Heading1"/>
        <w:keepNext/>
      </w:pPr>
      <w:r>
        <w:rPr>
          <w:rFonts w:ascii="SimHei" w:hAnsi="SimHei" w:eastAsia="SimHei"/>
          <w:b/>
          <w:sz w:val="30"/>
        </w:rPr>
        <w:t>三、平台赋能“三张网”，变“沉睡资产”为“增收活水”</w:t>
      </w:r>
    </w:p>
    <w:p>
      <w:pPr>
        <w:spacing w:line="360" w:lineRule="auto" w:after="100"/>
        <w:ind w:firstLine="480"/>
        <w:jc w:val="both"/>
      </w:pPr>
      <w:r>
        <w:rPr>
          <w:rFonts w:ascii="SimSun" w:hAnsi="SimSun" w:eastAsia="SimSun"/>
          <w:b w:val="0"/>
          <w:sz w:val="24"/>
        </w:rPr>
        <w:t>织密“三资监管”网。完善市级农村集体“三资”管理平台，统一规范会计科目、账套、凭证、报表、账簿及审批流程，对集体资产资源实行信息化登记、台账动态管理，实时掌握资产增减、分布及使用状态。同步实现村级账户网上记账、审批、转账、对账、公开、预警等全流程线上办理。截至目前，全市共2523个村集体进入平台监管。</w:t>
      </w:r>
    </w:p>
    <w:p>
      <w:pPr>
        <w:spacing w:line="360" w:lineRule="auto" w:after="100"/>
        <w:ind w:firstLine="480"/>
        <w:jc w:val="both"/>
      </w:pPr>
      <w:r>
        <w:rPr>
          <w:rFonts w:ascii="SimSun" w:hAnsi="SimSun" w:eastAsia="SimSun"/>
          <w:b w:val="0"/>
          <w:sz w:val="24"/>
        </w:rPr>
        <w:t>织牢“银农直联网”。拓展市级农村集体资产“三资”管理平台实现村级集体经济组织账户网上记账、网上审批、转账汇款、网上查询、电子对账、财务公开等功能，实现村级资金管理全程可留痕、可查询、可追溯。截至目前，全市通过银农直联模块发起审批流程184.83万笔，成功支付179.46万笔，涉及金额115.98亿元。</w:t>
      </w:r>
    </w:p>
    <w:p>
      <w:pPr>
        <w:spacing w:line="360" w:lineRule="auto" w:after="100"/>
        <w:ind w:firstLine="480"/>
        <w:jc w:val="both"/>
      </w:pPr>
      <w:r>
        <w:rPr>
          <w:rFonts w:ascii="SimSun" w:hAnsi="SimSun" w:eastAsia="SimSun"/>
          <w:b w:val="0"/>
          <w:sz w:val="24"/>
        </w:rPr>
        <w:t>织细“组财村管网”。制定《泉州市加强农村村民小组财务管理工作措施》，探索推行“组财镇管（代理）”“组财村管”和“组财组管”三种模式，要求将原存于个人户头的村民小组资金全部转入村集体公户统一核算。在账户核算上，推动296个小组实行镇代理记账、75个小组实行村代理记账；在资金管理上，推动497个村小组共8910万元资金存入村集体账户；在财务公开上，推动803个小组完成线上公开，将监管触角延伸至基层治理“最后一米”。</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t>根据政府官网公开页面正文整理，仅用于知识库演示与内部学习。</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