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SimHei" w:hAnsi="SimHei" w:eastAsia="SimHei"/>
          <w:b/>
          <w:sz w:val="40"/>
        </w:rPr>
        <w:t>福建省2024年上半年整治村（社区）集体“三资”管理不规范问题成效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800"/>
            <w:shd w:fill="E7EE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SimHei" w:hAnsi="SimHei" w:eastAsia="SimHei"/>
                <w:b/>
                <w:sz w:val="21"/>
              </w:rPr>
              <w:t>发布来源</w:t>
            </w:r>
          </w:p>
        </w:tc>
        <w:tc>
          <w:tcPr>
            <w:tcW w:type="dxa" w:w="84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SimSun" w:hAnsi="SimSun" w:eastAsia="SimSun"/>
                <w:b w:val="0"/>
                <w:sz w:val="21"/>
              </w:rPr>
              <w:t>福建省农业农村厅</w:t>
            </w:r>
          </w:p>
        </w:tc>
      </w:tr>
      <w:tr>
        <w:tc>
          <w:tcPr>
            <w:tcW w:type="dxa" w:w="1800"/>
            <w:shd w:fill="E7EE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SimHei" w:hAnsi="SimHei" w:eastAsia="SimHei"/>
                <w:b/>
                <w:sz w:val="21"/>
              </w:rPr>
              <w:t>发布日期</w:t>
            </w:r>
          </w:p>
        </w:tc>
        <w:tc>
          <w:tcPr>
            <w:tcW w:type="dxa" w:w="84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SimSun" w:hAnsi="SimSun" w:eastAsia="SimSun"/>
                <w:b w:val="0"/>
                <w:sz w:val="21"/>
              </w:rPr>
              <w:t>2024年7月1日</w:t>
            </w:r>
          </w:p>
        </w:tc>
      </w:tr>
      <w:tr>
        <w:tc>
          <w:tcPr>
            <w:tcW w:type="dxa" w:w="1800"/>
            <w:shd w:fill="E7EE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SimHei" w:hAnsi="SimHei" w:eastAsia="SimHei"/>
                <w:b/>
                <w:sz w:val="21"/>
              </w:rPr>
              <w:t>官方链接</w:t>
            </w:r>
          </w:p>
        </w:tc>
        <w:tc>
          <w:tcPr>
            <w:tcW w:type="dxa" w:w="84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SimSun" w:hAnsi="SimSun" w:eastAsia="SimSun"/>
                <w:b w:val="0"/>
                <w:sz w:val="21"/>
              </w:rPr>
              <w:t>https://nynct.fujian.gov.cn/ztzl/zzcsqjtszglbgfhtbgfgbzczybwczydwtwhqzly/jtcx/202407/t20240701_6477252.htm</w:t>
            </w:r>
          </w:p>
        </w:tc>
      </w:tr>
      <w:tr>
        <w:tc>
          <w:tcPr>
            <w:tcW w:type="dxa" w:w="1800"/>
            <w:shd w:fill="E7EE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SimHei" w:hAnsi="SimHei" w:eastAsia="SimHei"/>
                <w:b/>
                <w:sz w:val="21"/>
              </w:rPr>
              <w:t>可用于起草</w:t>
            </w:r>
          </w:p>
        </w:tc>
        <w:tc>
          <w:tcPr>
            <w:tcW w:type="dxa" w:w="84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SimSun" w:hAnsi="SimSun" w:eastAsia="SimSun"/>
                <w:b w:val="0"/>
                <w:sz w:val="21"/>
              </w:rPr>
              <w:t>起草通知时用于理解整治成效口径和重点方向；不宜直接套用为泉州数据</w:t>
            </w:r>
          </w:p>
        </w:tc>
      </w:tr>
    </w:tbl>
    <w:p/>
    <w:p>
      <w:pPr>
        <w:spacing w:line="360" w:lineRule="auto" w:after="100"/>
        <w:ind w:firstLine="480"/>
        <w:jc w:val="both"/>
      </w:pPr>
      <w:r>
        <w:rPr>
          <w:rFonts w:ascii="SimSun" w:hAnsi="SimSun" w:eastAsia="SimSun"/>
          <w:b w:val="0"/>
          <w:sz w:val="24"/>
        </w:rPr>
        <w:t>今年以来，全省农业农村部门采取超常规力度和措施，持续加大攻坚力度，全力推动农村集体“三资”监管突出问题集中专项整治，“点题整治”各项工作取得明显成效。</w:t>
      </w:r>
    </w:p>
    <w:p>
      <w:pPr>
        <w:spacing w:line="360" w:lineRule="auto" w:after="100"/>
        <w:ind w:firstLine="480"/>
        <w:jc w:val="both"/>
      </w:pPr>
      <w:r>
        <w:rPr>
          <w:rFonts w:ascii="SimSun" w:hAnsi="SimSun" w:eastAsia="SimSun"/>
          <w:b w:val="0"/>
          <w:sz w:val="24"/>
        </w:rPr>
        <w:t>一是针对集体经济合同管理不规范问题，全面梳理排查问题线索、建立问题清单、销号式推动整改，全省发现集体“三资”管理问题5862个，已推动解决4079个，收回土地等资源372亩、收回资金9204万元，增加村集体租金收入413万元。</w:t>
      </w:r>
    </w:p>
    <w:p>
      <w:pPr>
        <w:spacing w:line="360" w:lineRule="auto" w:after="100"/>
        <w:ind w:firstLine="480"/>
        <w:jc w:val="both"/>
      </w:pPr>
      <w:r>
        <w:rPr>
          <w:rFonts w:ascii="SimSun" w:hAnsi="SimSun" w:eastAsia="SimSun"/>
          <w:b w:val="0"/>
          <w:sz w:val="24"/>
        </w:rPr>
        <w:t>二是针对集体“三资”监管短板弱项，将现金日记账、银行流水账等列入村财网上必公开事项，推动95%以上的村上传了5.8万份租赁、发包经济合同，涉及金额262.4亿元，有效保障群众监督权。</w:t>
      </w:r>
    </w:p>
    <w:p>
      <w:pPr>
        <w:spacing w:line="360" w:lineRule="auto" w:after="100"/>
        <w:ind w:firstLine="480"/>
        <w:jc w:val="both"/>
      </w:pPr>
      <w:r>
        <w:rPr>
          <w:rFonts w:ascii="SimSun" w:hAnsi="SimSun" w:eastAsia="SimSun"/>
          <w:b w:val="0"/>
          <w:sz w:val="24"/>
        </w:rPr>
        <w:t>三是针对村财坐收坐支、备用金管理不规范问题，全面推行村财非现金结算，目前已有80%以上的村实现小额收入二维码收款、小额支付村务卡结算。</w:t>
      </w:r>
    </w:p>
    <w:p>
      <w:pPr>
        <w:spacing w:line="360" w:lineRule="auto" w:after="100"/>
        <w:ind w:firstLine="480"/>
        <w:jc w:val="both"/>
      </w:pPr>
      <w:r>
        <w:rPr>
          <w:rFonts w:ascii="SimSun" w:hAnsi="SimSun" w:eastAsia="SimSun"/>
          <w:b w:val="0"/>
          <w:sz w:val="24"/>
        </w:rPr>
        <w:t>四是针对集体资产资源暗箱操作隐患，加大农村产权交易市场建设力度，新增福州、南平整市交易市场试点，今年以来完成农村产权交易835宗、金额10.9亿元，提前完成年度目标任务。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SimSun"/>
        <w:b w:val="0"/>
        <w:sz w:val="18"/>
      </w:rPr>
      <w:t>根据政府官网公开页面正文整理，仅用于知识库演示与内部学习。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imHei" w:hAnsi="SimHei" w:eastAsia="Sim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