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SimHei" w:hAnsi="SimHei" w:eastAsia="SimHei"/>
          <w:b/>
          <w:sz w:val="40"/>
        </w:rPr>
        <w:t>省农业农村厅召开农村集体“三资”管理突出问题整治工作调度会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00"/>
            <w:shd w:fill="E7EE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SimHei" w:hAnsi="SimHei" w:eastAsia="SimHei"/>
                <w:b/>
                <w:sz w:val="21"/>
              </w:rPr>
              <w:t>发布来源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SimSun" w:hAnsi="SimSun" w:eastAsia="SimSun"/>
                <w:b w:val="0"/>
                <w:sz w:val="21"/>
              </w:rPr>
              <w:t>福建省农业农村厅</w:t>
            </w:r>
          </w:p>
        </w:tc>
      </w:tr>
      <w:tr>
        <w:tc>
          <w:tcPr>
            <w:tcW w:type="dxa" w:w="1800"/>
            <w:shd w:fill="E7EE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SimHei" w:hAnsi="SimHei" w:eastAsia="SimHei"/>
                <w:b/>
                <w:sz w:val="21"/>
              </w:rPr>
              <w:t>发布日期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SimSun" w:hAnsi="SimSun" w:eastAsia="SimSun"/>
                <w:b w:val="0"/>
                <w:sz w:val="21"/>
              </w:rPr>
              <w:t>2026年4月22日</w:t>
            </w:r>
          </w:p>
        </w:tc>
      </w:tr>
      <w:tr>
        <w:tc>
          <w:tcPr>
            <w:tcW w:type="dxa" w:w="1800"/>
            <w:shd w:fill="E7EE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SimHei" w:hAnsi="SimHei" w:eastAsia="SimHei"/>
                <w:b/>
                <w:sz w:val="21"/>
              </w:rPr>
              <w:t>官方链接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SimSun" w:hAnsi="SimSun" w:eastAsia="SimSun"/>
                <w:b w:val="0"/>
                <w:sz w:val="21"/>
              </w:rPr>
              <w:t>https://nynct.fujian.gov.cn/tpxw/202604/t20260422_7130278.htm</w:t>
            </w:r>
          </w:p>
        </w:tc>
      </w:tr>
      <w:tr>
        <w:tc>
          <w:tcPr>
            <w:tcW w:type="dxa" w:w="1800"/>
            <w:shd w:fill="E7EE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SimHei" w:hAnsi="SimHei" w:eastAsia="SimHei"/>
                <w:b/>
                <w:sz w:val="21"/>
              </w:rPr>
              <w:t>可用于起草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SimSun" w:hAnsi="SimSun" w:eastAsia="SimSun"/>
                <w:b w:val="0"/>
                <w:sz w:val="21"/>
              </w:rPr>
              <w:t>最新省级工作导向：“时度效”、挂图作战、1+N监管体系、系统联动</w:t>
            </w:r>
          </w:p>
        </w:tc>
      </w:tr>
    </w:tbl>
    <w:p/>
    <w:p>
      <w:pPr>
        <w:spacing w:line="360" w:lineRule="auto" w:after="100"/>
        <w:ind w:firstLine="480"/>
        <w:jc w:val="both"/>
      </w:pPr>
      <w:r>
        <w:rPr>
          <w:rFonts w:ascii="SimSun" w:hAnsi="SimSun" w:eastAsia="SimSun"/>
          <w:b w:val="0"/>
          <w:sz w:val="24"/>
        </w:rPr>
        <w:t>4月21日，省农业农村厅召开农村集体“三资”管理突出问题整治工作调度会。陈道清副厅长出席并讲话。</w:t>
      </w:r>
    </w:p>
    <w:p>
      <w:pPr>
        <w:spacing w:line="360" w:lineRule="auto" w:after="100"/>
        <w:ind w:firstLine="480"/>
        <w:jc w:val="both"/>
      </w:pPr>
      <w:r>
        <w:rPr>
          <w:rFonts w:ascii="SimSun" w:hAnsi="SimSun" w:eastAsia="SimSun"/>
          <w:b w:val="0"/>
          <w:sz w:val="24"/>
        </w:rPr>
        <w:t>会议强调，要深入贯彻落实省纪委监委有关部署要求，切实认清当前整治工作形势，进一步增强责任感、紧迫感，持续加压发力、推动纵深突破，抓出让群众满意的整治成效。要精准把握工作“时度效”，坚持挂图作战、聚焦重点任务，以明确的时间表、路线图扎实推进问题排查整改和各项工作落地见效，围绕“1+N”农村集体“三资”监管体系建设，着力健全制度机制、夯实长效监管基础。要牢固树立“全省一盘棋”理念，强化系统上下联动，深化部门协同配合，凝聚工作合力，确保高质量完成年度各项目标任务。</w:t>
      </w:r>
    </w:p>
    <w:p>
      <w:pPr>
        <w:spacing w:line="360" w:lineRule="auto" w:after="100"/>
        <w:ind w:firstLine="480"/>
        <w:jc w:val="both"/>
      </w:pPr>
      <w:r>
        <w:rPr>
          <w:rFonts w:ascii="SimSun" w:hAnsi="SimSun" w:eastAsia="SimSun"/>
          <w:b w:val="0"/>
          <w:sz w:val="24"/>
        </w:rPr>
        <w:t>会上，各设区市和平潭综合实验区农业农村局分管负责同志作交流发言。厅政策与改革处相关同志参加会议。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  <w:b w:val="0"/>
        <w:sz w:val="18"/>
      </w:rPr>
      <w:t>根据政府官网公开页面正文整理，仅用于知识库演示与内部学习。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Hei" w:hAnsi="SimHei" w:eastAsia="Sim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