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B78F8E">
      <w:pPr>
        <w:pStyle w:val="31"/>
        <w:jc w:val="center"/>
      </w:pPr>
      <w:r>
        <w:rPr>
          <w:rFonts w:ascii="黑体" w:hAnsi="黑体" w:eastAsia="黑体"/>
          <w:b/>
          <w:sz w:val="40"/>
        </w:rPr>
        <w:t>泉州市农业农村局关于贯彻落实福建省农业农村厅《深化农村集体“三资”管理突出问题专项整治工作实施方案》的通知</w:t>
      </w:r>
    </w:p>
    <w:tbl>
      <w:tblPr>
        <w:tblStyle w:val="32"/>
        <w:tblW w:w="0" w:type="auto"/>
        <w:jc w:val="center"/>
        <w:tblLayout w:type="fixed"/>
        <w:tblCellMar>
          <w:top w:w="0" w:type="dxa"/>
          <w:left w:w="108" w:type="dxa"/>
          <w:bottom w:w="0" w:type="dxa"/>
          <w:right w:w="108" w:type="dxa"/>
        </w:tblCellMar>
      </w:tblPr>
      <w:tblGrid>
        <w:gridCol w:w="4896"/>
        <w:gridCol w:w="4896"/>
      </w:tblGrid>
      <w:tr w14:paraId="6397513A">
        <w:tblPrEx>
          <w:tblCellMar>
            <w:top w:w="0" w:type="dxa"/>
            <w:left w:w="108" w:type="dxa"/>
            <w:bottom w:w="0" w:type="dxa"/>
            <w:right w:w="108" w:type="dxa"/>
          </w:tblCellMar>
        </w:tblPrEx>
        <w:trPr>
          <w:jc w:val="center"/>
        </w:trPr>
        <w:tc>
          <w:tcPr>
            <w:tcW w:w="1800" w:type="dxa"/>
            <w:shd w:val="clear" w:color="auto" w:fill="E7EEF8"/>
            <w:tcMar>
              <w:top w:w="100" w:type="dxa"/>
              <w:left w:w="120" w:type="dxa"/>
              <w:bottom w:w="100" w:type="dxa"/>
              <w:right w:w="120" w:type="dxa"/>
            </w:tcMar>
            <w:vAlign w:val="center"/>
          </w:tcPr>
          <w:p w14:paraId="3BD6542B">
            <w:pPr>
              <w:spacing w:after="0"/>
            </w:pPr>
            <w:r>
              <w:rPr>
                <w:rFonts w:ascii="黑体" w:hAnsi="黑体" w:eastAsia="黑体"/>
                <w:b/>
                <w:sz w:val="21"/>
              </w:rPr>
              <w:t>发布来源</w:t>
            </w:r>
          </w:p>
        </w:tc>
        <w:tc>
          <w:tcPr>
            <w:tcW w:w="8424" w:type="dxa"/>
            <w:tcMar>
              <w:top w:w="100" w:type="dxa"/>
              <w:left w:w="120" w:type="dxa"/>
              <w:bottom w:w="100" w:type="dxa"/>
              <w:right w:w="120" w:type="dxa"/>
            </w:tcMar>
            <w:vAlign w:val="center"/>
          </w:tcPr>
          <w:p w14:paraId="2F08A7D6">
            <w:pPr>
              <w:spacing w:after="0"/>
            </w:pPr>
            <w:r>
              <w:rPr>
                <w:rFonts w:ascii="宋体" w:hAnsi="宋体" w:eastAsia="宋体"/>
                <w:b w:val="0"/>
                <w:sz w:val="21"/>
              </w:rPr>
              <w:t>泉州市农业农村局</w:t>
            </w:r>
          </w:p>
        </w:tc>
      </w:tr>
      <w:tr w14:paraId="3FFBE002">
        <w:tblPrEx>
          <w:tblCellMar>
            <w:top w:w="0" w:type="dxa"/>
            <w:left w:w="108" w:type="dxa"/>
            <w:bottom w:w="0" w:type="dxa"/>
            <w:right w:w="108" w:type="dxa"/>
          </w:tblCellMar>
        </w:tblPrEx>
        <w:trPr>
          <w:jc w:val="center"/>
        </w:trPr>
        <w:tc>
          <w:tcPr>
            <w:tcW w:w="1800" w:type="dxa"/>
            <w:shd w:val="clear" w:color="auto" w:fill="E7EEF8"/>
            <w:tcMar>
              <w:top w:w="100" w:type="dxa"/>
              <w:left w:w="120" w:type="dxa"/>
              <w:bottom w:w="100" w:type="dxa"/>
              <w:right w:w="120" w:type="dxa"/>
            </w:tcMar>
            <w:vAlign w:val="center"/>
          </w:tcPr>
          <w:p w14:paraId="013EA238">
            <w:pPr>
              <w:spacing w:after="0"/>
            </w:pPr>
            <w:r>
              <w:rPr>
                <w:rFonts w:ascii="黑体" w:hAnsi="黑体" w:eastAsia="黑体"/>
                <w:b/>
                <w:sz w:val="21"/>
              </w:rPr>
              <w:t>发布日期</w:t>
            </w:r>
          </w:p>
        </w:tc>
        <w:tc>
          <w:tcPr>
            <w:tcW w:w="8424" w:type="dxa"/>
            <w:tcMar>
              <w:top w:w="100" w:type="dxa"/>
              <w:left w:w="120" w:type="dxa"/>
              <w:bottom w:w="100" w:type="dxa"/>
              <w:right w:w="120" w:type="dxa"/>
            </w:tcMar>
            <w:vAlign w:val="center"/>
          </w:tcPr>
          <w:p w14:paraId="1E5C15F8">
            <w:pPr>
              <w:spacing w:after="0"/>
            </w:pPr>
            <w:r>
              <w:rPr>
                <w:rFonts w:ascii="宋体" w:hAnsi="宋体" w:eastAsia="宋体"/>
                <w:b w:val="0"/>
                <w:sz w:val="21"/>
              </w:rPr>
              <w:t>2025年5月12日</w:t>
            </w:r>
          </w:p>
        </w:tc>
      </w:tr>
      <w:tr w14:paraId="3A3101AB">
        <w:tblPrEx>
          <w:tblCellMar>
            <w:top w:w="0" w:type="dxa"/>
            <w:left w:w="108" w:type="dxa"/>
            <w:bottom w:w="0" w:type="dxa"/>
            <w:right w:w="108" w:type="dxa"/>
          </w:tblCellMar>
        </w:tblPrEx>
        <w:trPr>
          <w:jc w:val="center"/>
        </w:trPr>
        <w:tc>
          <w:tcPr>
            <w:tcW w:w="1800" w:type="dxa"/>
            <w:shd w:val="clear" w:color="auto" w:fill="E7EEF8"/>
            <w:tcMar>
              <w:top w:w="100" w:type="dxa"/>
              <w:left w:w="120" w:type="dxa"/>
              <w:bottom w:w="100" w:type="dxa"/>
              <w:right w:w="120" w:type="dxa"/>
            </w:tcMar>
            <w:vAlign w:val="center"/>
          </w:tcPr>
          <w:p w14:paraId="40023A89">
            <w:pPr>
              <w:spacing w:after="0"/>
            </w:pPr>
            <w:r>
              <w:rPr>
                <w:rFonts w:ascii="黑体" w:hAnsi="黑体" w:eastAsia="黑体"/>
                <w:b/>
                <w:sz w:val="21"/>
              </w:rPr>
              <w:t>官方链接</w:t>
            </w:r>
          </w:p>
        </w:tc>
        <w:tc>
          <w:tcPr>
            <w:tcW w:w="8424" w:type="dxa"/>
            <w:tcMar>
              <w:top w:w="100" w:type="dxa"/>
              <w:left w:w="120" w:type="dxa"/>
              <w:bottom w:w="100" w:type="dxa"/>
              <w:right w:w="120" w:type="dxa"/>
            </w:tcMar>
            <w:vAlign w:val="center"/>
          </w:tcPr>
          <w:p w14:paraId="169D991A">
            <w:pPr>
              <w:spacing w:after="0"/>
            </w:pPr>
            <w:r>
              <w:rPr>
                <w:rFonts w:ascii="宋体" w:hAnsi="宋体" w:eastAsia="宋体"/>
                <w:b w:val="0"/>
                <w:sz w:val="21"/>
              </w:rPr>
              <w:t>https://nyncj.quanzhou.gov.cn/xxgk/zfxxgk/fdzdgknr/tzgg/202505/t20250512_3168104.htm</w:t>
            </w:r>
          </w:p>
        </w:tc>
      </w:tr>
      <w:tr w14:paraId="19722722">
        <w:tblPrEx>
          <w:tblCellMar>
            <w:top w:w="0" w:type="dxa"/>
            <w:left w:w="108" w:type="dxa"/>
            <w:bottom w:w="0" w:type="dxa"/>
            <w:right w:w="108" w:type="dxa"/>
          </w:tblCellMar>
        </w:tblPrEx>
        <w:trPr>
          <w:jc w:val="center"/>
        </w:trPr>
        <w:tc>
          <w:tcPr>
            <w:tcW w:w="1800" w:type="dxa"/>
            <w:shd w:val="clear" w:color="auto" w:fill="E7EEF8"/>
            <w:tcMar>
              <w:top w:w="100" w:type="dxa"/>
              <w:left w:w="120" w:type="dxa"/>
              <w:bottom w:w="100" w:type="dxa"/>
              <w:right w:w="120" w:type="dxa"/>
            </w:tcMar>
            <w:vAlign w:val="center"/>
          </w:tcPr>
          <w:p w14:paraId="6524E57D">
            <w:pPr>
              <w:spacing w:after="0"/>
            </w:pPr>
            <w:r>
              <w:rPr>
                <w:rFonts w:ascii="黑体" w:hAnsi="黑体" w:eastAsia="黑体"/>
                <w:b/>
                <w:sz w:val="21"/>
              </w:rPr>
              <w:t>可用于起草</w:t>
            </w:r>
          </w:p>
        </w:tc>
        <w:tc>
          <w:tcPr>
            <w:tcW w:w="8424" w:type="dxa"/>
            <w:tcMar>
              <w:top w:w="100" w:type="dxa"/>
              <w:left w:w="120" w:type="dxa"/>
              <w:bottom w:w="100" w:type="dxa"/>
              <w:right w:w="120" w:type="dxa"/>
            </w:tcMar>
            <w:vAlign w:val="center"/>
          </w:tcPr>
          <w:p w14:paraId="046E9752">
            <w:pPr>
              <w:spacing w:after="0"/>
            </w:pPr>
            <w:r>
              <w:rPr>
                <w:rFonts w:ascii="宋体" w:hAnsi="宋体" w:eastAsia="宋体"/>
                <w:b w:val="0"/>
                <w:sz w:val="21"/>
              </w:rPr>
              <w:t>最直接的泉州本地专项整治依据，包含“5321”工作举措、进度安排和本地重点问题</w:t>
            </w:r>
          </w:p>
        </w:tc>
      </w:tr>
    </w:tbl>
    <w:p w14:paraId="195DA6B3"/>
    <w:p w14:paraId="0C724B4F">
      <w:pPr>
        <w:spacing w:after="100" w:line="360" w:lineRule="auto"/>
        <w:jc w:val="both"/>
      </w:pPr>
      <w:r>
        <w:rPr>
          <w:rFonts w:ascii="宋体" w:hAnsi="宋体" w:eastAsia="宋体"/>
          <w:b w:val="0"/>
          <w:sz w:val="24"/>
        </w:rPr>
        <w:t>各县（市、区）、泉州台商投资区农业农村主管部门：</w:t>
      </w:r>
    </w:p>
    <w:p w14:paraId="1FB77A1A">
      <w:pPr>
        <w:spacing w:after="100" w:line="360" w:lineRule="auto"/>
        <w:ind w:firstLine="480"/>
        <w:jc w:val="both"/>
      </w:pPr>
      <w:r>
        <w:rPr>
          <w:rFonts w:ascii="宋体" w:hAnsi="宋体" w:eastAsia="宋体"/>
          <w:b w:val="0"/>
          <w:sz w:val="24"/>
        </w:rPr>
        <w:t>为全面贯彻落实省、市纪委监委关于深化开展群众身边不正之风和腐败问题集中整治和《福建省农业农村厅关于印发〈深化农村集体“三资”管理突出问题专项整治工作实施方案〉的通知》（闽农政改〔2025〕5号）工作要求，深入开展我市农村集体“三资”管理突出问题专项整治工作，结合本地实际，现将有关贯彻落实工作要求进一步明确如下：</w:t>
      </w:r>
    </w:p>
    <w:p w14:paraId="155BDB0D">
      <w:pPr>
        <w:pStyle w:val="3"/>
        <w:keepNext/>
      </w:pPr>
      <w:r>
        <w:rPr>
          <w:rFonts w:ascii="黑体" w:hAnsi="黑体" w:eastAsia="黑体"/>
          <w:b/>
          <w:sz w:val="30"/>
        </w:rPr>
        <w:t>一、加强组织领导</w:t>
      </w:r>
    </w:p>
    <w:p w14:paraId="5EE04294">
      <w:pPr>
        <w:spacing w:after="100" w:line="360" w:lineRule="auto"/>
        <w:ind w:firstLine="480"/>
        <w:jc w:val="both"/>
      </w:pPr>
      <w:r>
        <w:rPr>
          <w:rFonts w:ascii="宋体" w:hAnsi="宋体" w:eastAsia="宋体"/>
          <w:b w:val="0"/>
          <w:sz w:val="24"/>
        </w:rPr>
        <w:t>各县（市、区）、泉州台商投资区农业农村部门要提高政治站位，积极争取当地党委和政府关心支持，建立工作专班，抓本级带系统，压紧压实属地责任，狠抓五、六月、强力推进七、八月，确保整治工作推动到位。要主动与同级纪检监察部门建立动态专题会商、线索双向移送、信息互通共享、问题整改落实、常态长效提升等协同联动工作机制；加强对典型性、疑难复杂、干扰多、阻力大、群众反复举报却屡次查否的问题线索的督办指导，对发现的涉嫌违纪违法问题线索，及时移交纪检监察部门。4月29日前，完成动员部署，并将实施方案报市农业农村局。</w:t>
      </w:r>
    </w:p>
    <w:p w14:paraId="3483198F">
      <w:pPr>
        <w:pStyle w:val="3"/>
        <w:keepNext/>
      </w:pPr>
      <w:r>
        <w:rPr>
          <w:rFonts w:ascii="黑体" w:hAnsi="黑体" w:eastAsia="黑体"/>
          <w:b/>
          <w:sz w:val="30"/>
        </w:rPr>
        <w:t>二、注重整治成效</w:t>
      </w:r>
    </w:p>
    <w:p w14:paraId="3906F1E9">
      <w:pPr>
        <w:spacing w:after="100" w:line="360" w:lineRule="auto"/>
        <w:ind w:firstLine="480"/>
        <w:jc w:val="both"/>
      </w:pPr>
      <w:r>
        <w:rPr>
          <w:rFonts w:ascii="宋体" w:hAnsi="宋体" w:eastAsia="宋体"/>
          <w:b w:val="0"/>
          <w:sz w:val="24"/>
        </w:rPr>
        <w:t>坚持“群众主体、群众参与、群众满意”理念，坚持边查边改、立查立改，依托省级农村集体资产监督管理平台和市级农村集体“三资”（新版）管理平台，落实省“四立一督”工作机制，紧盯群众反映强烈特别是基层普遍发生、反复出现的突出问题，通过持续深化农村集体财务管理、集体经济合同、集体债务、工程项目、违规出借资金等5类突出问题整治，拓展推行村级财务收支非现金结算、农村产权流转交易市场建设、农村集体“三资”信息化管理水平等3项有效管理方式，持续提高村财网上公开、村集体经济合同网上公开等2项工作监管效能和开展农村集体资产精准清查工作等“5321”工作举措，探索形成一批管用的制度机制，办成一批群众可及可感的好事实事，村集体和农民群众权益得到有效维护，培育打造纪委监督推动下的农村集体“三资”领域民生治理品牌。</w:t>
      </w:r>
    </w:p>
    <w:p w14:paraId="2B400AA8">
      <w:pPr>
        <w:pStyle w:val="3"/>
        <w:keepNext/>
      </w:pPr>
      <w:r>
        <w:rPr>
          <w:rFonts w:ascii="黑体" w:hAnsi="黑体" w:eastAsia="黑体"/>
          <w:b/>
          <w:sz w:val="30"/>
        </w:rPr>
        <w:t>三、加强调度推进</w:t>
      </w:r>
    </w:p>
    <w:p w14:paraId="72D74499">
      <w:pPr>
        <w:spacing w:after="100" w:line="360" w:lineRule="auto"/>
        <w:ind w:firstLine="480"/>
        <w:jc w:val="both"/>
      </w:pPr>
      <w:r>
        <w:rPr>
          <w:rFonts w:ascii="宋体" w:hAnsi="宋体" w:eastAsia="宋体"/>
          <w:b w:val="0"/>
          <w:sz w:val="24"/>
        </w:rPr>
        <w:t>一是及时上报工作情况。市级继续实行重要工作每日一调度、日常工作每周一通报、总体工作每月一上报工作机制。各县（市、区）、泉州台商投资区农业农村部门要按工作计划，于每月22日前，报送整治情况统计表、“两库一单”、问题线索台账、月度工作总结及各地建立的“一域一档”工作情况。</w:t>
      </w:r>
    </w:p>
    <w:p w14:paraId="64FC6AC9">
      <w:pPr>
        <w:spacing w:after="100" w:line="360" w:lineRule="auto"/>
        <w:ind w:firstLine="480"/>
        <w:jc w:val="both"/>
      </w:pPr>
      <w:r>
        <w:rPr>
          <w:rFonts w:ascii="宋体" w:hAnsi="宋体" w:eastAsia="宋体"/>
          <w:b w:val="0"/>
          <w:sz w:val="24"/>
        </w:rPr>
        <w:t>二是开展工作调度。市级将不定期开展农村集体“三资”管理不规范问题整治工作进度、问题整改情况抽查，对进度慢和群众反映问题线索较集中的县（市、区）开展“点对点”专项督办，并视情上报市委市政府重点调度。配合驻市农业农村局纪检监察组开展整治工作全过程督导，对推动整治不力、工作不到位、责任不落实的地区进行约谈，并向当地党委政府通报。</w:t>
      </w:r>
    </w:p>
    <w:p w14:paraId="5E1ACD40">
      <w:pPr>
        <w:spacing w:after="100" w:line="360" w:lineRule="auto"/>
        <w:ind w:firstLine="480"/>
        <w:jc w:val="both"/>
      </w:pPr>
      <w:r>
        <w:rPr>
          <w:rFonts w:ascii="宋体" w:hAnsi="宋体" w:eastAsia="宋体"/>
          <w:b w:val="0"/>
          <w:sz w:val="24"/>
        </w:rPr>
        <w:t>三是加强社会监督。县乡两级农业农村部门要继续建立本地监督举报热线、信箱，以案促改、以案促治，主动邀请人大代表、政协委员、特约监督员、基层群众参与成效评价。及时回复线上监督举报留言，对群众在平台留言限期办结。</w:t>
      </w:r>
    </w:p>
    <w:p w14:paraId="0022231A">
      <w:pPr>
        <w:pStyle w:val="3"/>
        <w:keepNext/>
      </w:pPr>
      <w:r>
        <w:rPr>
          <w:rFonts w:ascii="黑体" w:hAnsi="黑体" w:eastAsia="黑体"/>
          <w:b/>
          <w:sz w:val="30"/>
        </w:rPr>
        <w:t>四、注重培训总结</w:t>
      </w:r>
    </w:p>
    <w:p w14:paraId="5687468B">
      <w:pPr>
        <w:spacing w:after="100" w:line="360" w:lineRule="auto"/>
        <w:ind w:firstLine="480"/>
        <w:jc w:val="both"/>
        <w:rPr>
          <w:rFonts w:ascii="宋体" w:hAnsi="宋体" w:eastAsia="宋体"/>
          <w:b w:val="0"/>
          <w:sz w:val="24"/>
        </w:rPr>
      </w:pPr>
      <w:r>
        <w:rPr>
          <w:rFonts w:ascii="宋体" w:hAnsi="宋体" w:eastAsia="宋体"/>
          <w:b w:val="0"/>
          <w:sz w:val="24"/>
        </w:rPr>
        <w:t>一是分级分批开展《中华人民共和国农村集体经济组织法》、农村集体经济组织财务制度和会计制度、农村集体资产监管政策、农村产权流转交易及其平台应用等方面培训。二是各级农业农村部门要及时总结专项整治行动好经验好做法，收集推介“小切口”解决群众烦心事典型案例，打造民生实事亮点品牌，示范带动全市整治工作。于11月30日前按要求将整治工作总结（工作作法成效、形成的制度机制、问题根源及原因剖析、建议措施）报送市农业农村局。</w:t>
      </w:r>
    </w:p>
    <w:p w14:paraId="248ECF47">
      <w:pPr>
        <w:spacing w:after="100" w:line="360" w:lineRule="auto"/>
        <w:ind w:firstLine="480"/>
        <w:jc w:val="both"/>
        <w:rPr>
          <w:rFonts w:ascii="宋体" w:hAnsi="宋体" w:eastAsia="宋体"/>
          <w:b w:val="0"/>
          <w:sz w:val="24"/>
        </w:rPr>
      </w:pPr>
      <w:r>
        <w:rPr>
          <w:rFonts w:ascii="宋体" w:hAnsi="宋体" w:eastAsia="宋体"/>
          <w:b w:val="0"/>
          <w:sz w:val="24"/>
        </w:rPr>
        <w:t>联系人：陈孙彦宁，联系电话：18859700616，电子邮箱：jgz683@sina.com。</w:t>
      </w:r>
      <w:bookmarkStart w:id="0" w:name="_GoBack"/>
      <w:bookmarkEnd w:id="0"/>
    </w:p>
    <w:p w14:paraId="7EEF8F87">
      <w:pPr>
        <w:spacing w:after="100" w:line="360" w:lineRule="auto"/>
        <w:jc w:val="center"/>
      </w:pPr>
      <w:r>
        <w:rPr>
          <w:rFonts w:ascii="宋体" w:hAnsi="宋体" w:eastAsia="宋体"/>
          <w:b w:val="0"/>
          <w:sz w:val="24"/>
        </w:rPr>
        <w:t>泉州市农业农村局</w:t>
      </w:r>
    </w:p>
    <w:p w14:paraId="50E39028">
      <w:pPr>
        <w:spacing w:after="100" w:line="360" w:lineRule="auto"/>
        <w:jc w:val="center"/>
      </w:pPr>
      <w:r>
        <w:rPr>
          <w:rFonts w:ascii="宋体" w:hAnsi="宋体" w:eastAsia="宋体"/>
          <w:b w:val="0"/>
          <w:sz w:val="24"/>
        </w:rPr>
        <w:t>2025年4月21日</w:t>
      </w:r>
    </w:p>
    <w:p w14:paraId="56027A28">
      <w:pPr>
        <w:pStyle w:val="3"/>
        <w:keepNext/>
      </w:pPr>
      <w:r>
        <w:rPr>
          <w:rFonts w:ascii="黑体" w:hAnsi="黑体" w:eastAsia="黑体"/>
          <w:b/>
          <w:sz w:val="30"/>
        </w:rPr>
        <w:t>附件1：农村集体“三资”管理突出问题专项整治工作进度安排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4"/>
        <w:gridCol w:w="3264"/>
        <w:gridCol w:w="3264"/>
      </w:tblGrid>
      <w:tr w14:paraId="0078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shd w:val="clear" w:color="auto" w:fill="D9E6F2"/>
            <w:tcMar>
              <w:top w:w="100" w:type="dxa"/>
              <w:left w:w="120" w:type="dxa"/>
              <w:bottom w:w="100" w:type="dxa"/>
              <w:right w:w="120" w:type="dxa"/>
            </w:tcMar>
            <w:vAlign w:val="center"/>
          </w:tcPr>
          <w:p w14:paraId="35DBB356">
            <w:pPr>
              <w:spacing w:after="0" w:line="288" w:lineRule="auto"/>
            </w:pPr>
            <w:r>
              <w:rPr>
                <w:rFonts w:ascii="宋体" w:hAnsi="宋体" w:eastAsia="宋体"/>
                <w:b w:val="0"/>
                <w:sz w:val="20"/>
              </w:rPr>
              <w:t>整治目标</w:t>
            </w:r>
          </w:p>
        </w:tc>
        <w:tc>
          <w:tcPr>
            <w:tcW w:w="3264" w:type="dxa"/>
            <w:shd w:val="clear" w:color="auto" w:fill="D9E6F2"/>
            <w:tcMar>
              <w:top w:w="100" w:type="dxa"/>
              <w:left w:w="120" w:type="dxa"/>
              <w:bottom w:w="100" w:type="dxa"/>
              <w:right w:w="120" w:type="dxa"/>
            </w:tcMar>
            <w:vAlign w:val="center"/>
          </w:tcPr>
          <w:p w14:paraId="02917CE3">
            <w:pPr>
              <w:spacing w:after="0" w:line="288" w:lineRule="auto"/>
            </w:pPr>
            <w:r>
              <w:rPr>
                <w:rFonts w:ascii="宋体" w:hAnsi="宋体" w:eastAsia="宋体"/>
                <w:b w:val="0"/>
                <w:sz w:val="20"/>
              </w:rPr>
              <w:t>整治要求</w:t>
            </w:r>
          </w:p>
        </w:tc>
        <w:tc>
          <w:tcPr>
            <w:tcW w:w="3264" w:type="dxa"/>
            <w:shd w:val="clear" w:color="auto" w:fill="D9E6F2"/>
            <w:tcMar>
              <w:top w:w="100" w:type="dxa"/>
              <w:left w:w="120" w:type="dxa"/>
              <w:bottom w:w="100" w:type="dxa"/>
              <w:right w:w="120" w:type="dxa"/>
            </w:tcMar>
            <w:vAlign w:val="center"/>
          </w:tcPr>
          <w:p w14:paraId="696A3A0C">
            <w:pPr>
              <w:spacing w:after="0" w:line="288" w:lineRule="auto"/>
            </w:pPr>
            <w:r>
              <w:rPr>
                <w:rFonts w:ascii="宋体" w:hAnsi="宋体" w:eastAsia="宋体"/>
                <w:b w:val="0"/>
                <w:sz w:val="20"/>
              </w:rPr>
              <w:t>整改时限</w:t>
            </w:r>
          </w:p>
        </w:tc>
      </w:tr>
      <w:tr w14:paraId="3E957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Mar>
              <w:top w:w="100" w:type="dxa"/>
              <w:left w:w="120" w:type="dxa"/>
              <w:bottom w:w="100" w:type="dxa"/>
              <w:right w:w="120" w:type="dxa"/>
            </w:tcMar>
            <w:vAlign w:val="center"/>
          </w:tcPr>
          <w:p w14:paraId="105FE229">
            <w:pPr>
              <w:spacing w:after="0" w:line="288" w:lineRule="auto"/>
            </w:pPr>
            <w:r>
              <w:rPr>
                <w:rFonts w:ascii="宋体" w:hAnsi="宋体" w:eastAsia="宋体"/>
                <w:b w:val="0"/>
                <w:sz w:val="20"/>
              </w:rPr>
              <w:t>持续推进5类问题整治</w:t>
            </w:r>
          </w:p>
        </w:tc>
        <w:tc>
          <w:tcPr>
            <w:tcW w:w="3264" w:type="dxa"/>
            <w:tcMar>
              <w:top w:w="100" w:type="dxa"/>
              <w:left w:w="120" w:type="dxa"/>
              <w:bottom w:w="100" w:type="dxa"/>
              <w:right w:w="120" w:type="dxa"/>
            </w:tcMar>
            <w:vAlign w:val="center"/>
          </w:tcPr>
          <w:p w14:paraId="067977E0">
            <w:pPr>
              <w:spacing w:after="0" w:line="288" w:lineRule="auto"/>
            </w:pPr>
            <w:r>
              <w:rPr>
                <w:rFonts w:ascii="宋体" w:hAnsi="宋体" w:eastAsia="宋体"/>
                <w:b w:val="0"/>
                <w:sz w:val="20"/>
              </w:rPr>
              <w:t>整治农村集体财务管理不规范问题；整治农村集体经济合同不规范问题；整治村级违规举债；开展工程项目管理不规范整治试点；整治村集体违规出借资金并开展专项审计。</w:t>
            </w:r>
          </w:p>
        </w:tc>
        <w:tc>
          <w:tcPr>
            <w:tcW w:w="3264" w:type="dxa"/>
            <w:tcMar>
              <w:top w:w="100" w:type="dxa"/>
              <w:left w:w="120" w:type="dxa"/>
              <w:bottom w:w="100" w:type="dxa"/>
              <w:right w:w="120" w:type="dxa"/>
            </w:tcMar>
            <w:vAlign w:val="center"/>
          </w:tcPr>
          <w:p w14:paraId="3655AB3F">
            <w:pPr>
              <w:spacing w:after="0" w:line="288" w:lineRule="auto"/>
            </w:pPr>
            <w:r>
              <w:rPr>
                <w:rFonts w:ascii="宋体" w:hAnsi="宋体" w:eastAsia="宋体"/>
                <w:b w:val="0"/>
                <w:sz w:val="20"/>
              </w:rPr>
              <w:t>4—9月县级自查整改；5—11月市级抽查；9—11月全面完成整改。工程项目试点6月底前完善方案、8月底前平台接通试运行；11月底前完成任期审计。</w:t>
            </w:r>
          </w:p>
        </w:tc>
      </w:tr>
      <w:tr w14:paraId="4F62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Mar>
              <w:top w:w="100" w:type="dxa"/>
              <w:left w:w="120" w:type="dxa"/>
              <w:bottom w:w="100" w:type="dxa"/>
              <w:right w:w="120" w:type="dxa"/>
            </w:tcMar>
            <w:vAlign w:val="center"/>
          </w:tcPr>
          <w:p w14:paraId="55B5130D">
            <w:pPr>
              <w:spacing w:after="0" w:line="288" w:lineRule="auto"/>
            </w:pPr>
            <w:r>
              <w:rPr>
                <w:rFonts w:ascii="宋体" w:hAnsi="宋体" w:eastAsia="宋体"/>
                <w:b w:val="0"/>
                <w:sz w:val="20"/>
              </w:rPr>
              <w:t>拓展推行3项有效管理方式</w:t>
            </w:r>
          </w:p>
        </w:tc>
        <w:tc>
          <w:tcPr>
            <w:tcW w:w="3264" w:type="dxa"/>
            <w:tcMar>
              <w:top w:w="100" w:type="dxa"/>
              <w:left w:w="120" w:type="dxa"/>
              <w:bottom w:w="100" w:type="dxa"/>
              <w:right w:w="120" w:type="dxa"/>
            </w:tcMar>
            <w:vAlign w:val="center"/>
          </w:tcPr>
          <w:p w14:paraId="388F87B8">
            <w:pPr>
              <w:spacing w:after="0" w:line="288" w:lineRule="auto"/>
            </w:pPr>
            <w:r>
              <w:rPr>
                <w:rFonts w:ascii="宋体" w:hAnsi="宋体" w:eastAsia="宋体"/>
                <w:b w:val="0"/>
                <w:sz w:val="20"/>
              </w:rPr>
              <w:t>持续开展村级财务收支非现金结算；持续推进农村产权交易市场建设；提升农村集体“三资”信息化管理水平。</w:t>
            </w:r>
          </w:p>
        </w:tc>
        <w:tc>
          <w:tcPr>
            <w:tcW w:w="3264" w:type="dxa"/>
            <w:tcMar>
              <w:top w:w="100" w:type="dxa"/>
              <w:left w:w="120" w:type="dxa"/>
              <w:bottom w:w="100" w:type="dxa"/>
              <w:right w:w="120" w:type="dxa"/>
            </w:tcMar>
            <w:vAlign w:val="center"/>
          </w:tcPr>
          <w:p w14:paraId="730F3AA0">
            <w:pPr>
              <w:spacing w:after="0" w:line="288" w:lineRule="auto"/>
            </w:pPr>
            <w:r>
              <w:rPr>
                <w:rFonts w:ascii="宋体" w:hAnsi="宋体" w:eastAsia="宋体"/>
                <w:b w:val="0"/>
                <w:sz w:val="20"/>
              </w:rPr>
              <w:t>全年开展</w:t>
            </w:r>
          </w:p>
        </w:tc>
      </w:tr>
      <w:tr w14:paraId="07DF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Mar>
              <w:top w:w="100" w:type="dxa"/>
              <w:left w:w="120" w:type="dxa"/>
              <w:bottom w:w="100" w:type="dxa"/>
              <w:right w:w="120" w:type="dxa"/>
            </w:tcMar>
            <w:vAlign w:val="center"/>
          </w:tcPr>
          <w:p w14:paraId="3BAA3F6B">
            <w:pPr>
              <w:spacing w:after="0" w:line="288" w:lineRule="auto"/>
            </w:pPr>
            <w:r>
              <w:rPr>
                <w:rFonts w:ascii="宋体" w:hAnsi="宋体" w:eastAsia="宋体"/>
                <w:b w:val="0"/>
                <w:sz w:val="20"/>
              </w:rPr>
              <w:t>持续提高2类工作公开效能</w:t>
            </w:r>
          </w:p>
        </w:tc>
        <w:tc>
          <w:tcPr>
            <w:tcW w:w="3264" w:type="dxa"/>
            <w:tcMar>
              <w:top w:w="100" w:type="dxa"/>
              <w:left w:w="120" w:type="dxa"/>
              <w:bottom w:w="100" w:type="dxa"/>
              <w:right w:w="120" w:type="dxa"/>
            </w:tcMar>
            <w:vAlign w:val="center"/>
          </w:tcPr>
          <w:p w14:paraId="0B1EA38E">
            <w:pPr>
              <w:spacing w:after="0" w:line="288" w:lineRule="auto"/>
            </w:pPr>
            <w:r>
              <w:rPr>
                <w:rFonts w:ascii="宋体" w:hAnsi="宋体" w:eastAsia="宋体"/>
                <w:b w:val="0"/>
                <w:sz w:val="20"/>
              </w:rPr>
              <w:t>持续提升村财网上公开质效；持续提高村集体经济合同网上公开监管效能。</w:t>
            </w:r>
          </w:p>
        </w:tc>
        <w:tc>
          <w:tcPr>
            <w:tcW w:w="3264" w:type="dxa"/>
            <w:tcMar>
              <w:top w:w="100" w:type="dxa"/>
              <w:left w:w="120" w:type="dxa"/>
              <w:bottom w:w="100" w:type="dxa"/>
              <w:right w:w="120" w:type="dxa"/>
            </w:tcMar>
            <w:vAlign w:val="center"/>
          </w:tcPr>
          <w:p w14:paraId="3D2CFB58">
            <w:pPr>
              <w:spacing w:after="0" w:line="288" w:lineRule="auto"/>
            </w:pPr>
            <w:r>
              <w:rPr>
                <w:rFonts w:ascii="宋体" w:hAnsi="宋体" w:eastAsia="宋体"/>
                <w:b w:val="0"/>
                <w:sz w:val="20"/>
              </w:rPr>
              <w:t>全年开展</w:t>
            </w:r>
          </w:p>
        </w:tc>
      </w:tr>
      <w:tr w14:paraId="3BAD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4" w:type="dxa"/>
            <w:tcMar>
              <w:top w:w="100" w:type="dxa"/>
              <w:left w:w="120" w:type="dxa"/>
              <w:bottom w:w="100" w:type="dxa"/>
              <w:right w:w="120" w:type="dxa"/>
            </w:tcMar>
            <w:vAlign w:val="center"/>
          </w:tcPr>
          <w:p w14:paraId="677BD8B6">
            <w:pPr>
              <w:spacing w:after="0" w:line="288" w:lineRule="auto"/>
            </w:pPr>
            <w:r>
              <w:rPr>
                <w:rFonts w:ascii="宋体" w:hAnsi="宋体" w:eastAsia="宋体"/>
                <w:b w:val="0"/>
                <w:sz w:val="20"/>
              </w:rPr>
              <w:t>持续推动农村集体资产精准监管</w:t>
            </w:r>
          </w:p>
        </w:tc>
        <w:tc>
          <w:tcPr>
            <w:tcW w:w="3264" w:type="dxa"/>
            <w:tcMar>
              <w:top w:w="100" w:type="dxa"/>
              <w:left w:w="120" w:type="dxa"/>
              <w:bottom w:w="100" w:type="dxa"/>
              <w:right w:w="120" w:type="dxa"/>
            </w:tcMar>
            <w:vAlign w:val="center"/>
          </w:tcPr>
          <w:p w14:paraId="188D45F1">
            <w:pPr>
              <w:spacing w:after="0" w:line="288" w:lineRule="auto"/>
            </w:pPr>
            <w:r>
              <w:rPr>
                <w:rFonts w:ascii="宋体" w:hAnsi="宋体" w:eastAsia="宋体"/>
                <w:b w:val="0"/>
                <w:sz w:val="20"/>
              </w:rPr>
              <w:t>开展农村集体资产精准清查。</w:t>
            </w:r>
          </w:p>
        </w:tc>
        <w:tc>
          <w:tcPr>
            <w:tcW w:w="3264" w:type="dxa"/>
            <w:tcMar>
              <w:top w:w="100" w:type="dxa"/>
              <w:left w:w="120" w:type="dxa"/>
              <w:bottom w:w="100" w:type="dxa"/>
              <w:right w:w="120" w:type="dxa"/>
            </w:tcMar>
            <w:vAlign w:val="center"/>
          </w:tcPr>
          <w:p w14:paraId="0886337A">
            <w:pPr>
              <w:spacing w:after="0" w:line="288" w:lineRule="auto"/>
            </w:pPr>
            <w:r>
              <w:rPr>
                <w:rFonts w:ascii="宋体" w:hAnsi="宋体" w:eastAsia="宋体"/>
                <w:b w:val="0"/>
                <w:sz w:val="20"/>
              </w:rPr>
              <w:t>4月30日前完成精准清查并形成报告</w:t>
            </w:r>
          </w:p>
        </w:tc>
      </w:tr>
    </w:tbl>
    <w:p w14:paraId="05D1E939"/>
    <w:p w14:paraId="508D281E">
      <w:pPr>
        <w:pStyle w:val="3"/>
        <w:keepNext/>
      </w:pPr>
      <w:r>
        <w:rPr>
          <w:rFonts w:ascii="黑体" w:hAnsi="黑体" w:eastAsia="黑体"/>
          <w:b/>
          <w:sz w:val="30"/>
        </w:rPr>
        <w:t>附件2：泉州市农村集体“三资”管理突出问题专项整治工作专班</w:t>
      </w:r>
    </w:p>
    <w:p w14:paraId="709B3586">
      <w:pPr>
        <w:spacing w:after="100" w:line="360" w:lineRule="auto"/>
        <w:jc w:val="both"/>
      </w:pPr>
      <w:r>
        <w:rPr>
          <w:rFonts w:ascii="宋体" w:hAnsi="宋体" w:eastAsia="宋体"/>
          <w:b w:val="0"/>
          <w:sz w:val="24"/>
        </w:rPr>
        <w:t>组长：万文伟，泉州市农业农村局副局长。</w:t>
      </w:r>
    </w:p>
    <w:p w14:paraId="13FBB3DA">
      <w:pPr>
        <w:spacing w:after="100" w:line="360" w:lineRule="auto"/>
        <w:jc w:val="both"/>
      </w:pPr>
      <w:r>
        <w:rPr>
          <w:rFonts w:ascii="宋体" w:hAnsi="宋体" w:eastAsia="宋体"/>
          <w:b w:val="0"/>
          <w:sz w:val="24"/>
        </w:rPr>
        <w:t>副组长：陈明煜，泉州市农经站站长。</w:t>
      </w:r>
    </w:p>
    <w:p w14:paraId="7AF40839">
      <w:pPr>
        <w:spacing w:after="100" w:line="360" w:lineRule="auto"/>
        <w:jc w:val="both"/>
      </w:pPr>
      <w:r>
        <w:rPr>
          <w:rFonts w:ascii="宋体" w:hAnsi="宋体" w:eastAsia="宋体"/>
          <w:b w:val="0"/>
          <w:sz w:val="24"/>
        </w:rPr>
        <w:t>组员：刘达妮、杨素丽、陈孙彦宁、吴铁克、苏伟华、林婧影、蔡丽芬。</w:t>
      </w:r>
    </w:p>
    <w:p w14:paraId="0ABA1CD9">
      <w:pPr>
        <w:spacing w:after="100" w:line="360" w:lineRule="auto"/>
        <w:ind w:firstLine="480"/>
        <w:jc w:val="both"/>
      </w:pPr>
      <w:r>
        <w:rPr>
          <w:rFonts w:ascii="宋体" w:hAnsi="宋体" w:eastAsia="宋体"/>
          <w:b w:val="0"/>
          <w:sz w:val="24"/>
        </w:rPr>
        <w:t>专班负责全市农村集体“三资”管理突出问题专项整治工作，接受驻市农业农村局纪检监察组监督，下设四个工作小组：</w:t>
      </w:r>
    </w:p>
    <w:p w14:paraId="04C084E5">
      <w:pPr>
        <w:spacing w:after="100" w:line="360" w:lineRule="auto"/>
        <w:ind w:firstLine="480"/>
        <w:jc w:val="both"/>
      </w:pPr>
      <w:r>
        <w:rPr>
          <w:rFonts w:ascii="宋体" w:hAnsi="宋体" w:eastAsia="宋体"/>
          <w:b w:val="0"/>
          <w:sz w:val="24"/>
        </w:rPr>
        <w:t>（一）综合协调组。负责整治工作方案制定和全市相关工作数据、台账汇总和上报工作；收集推介典型案例和宣传报道；做好与市纪委监委、驻局纪检监察组的业务对接；推进泉州市农村集体“三资”新版管理平台提升，指导村财非现金结算业务推进；督促各地加强宣传总结等工作。</w:t>
      </w:r>
    </w:p>
    <w:p w14:paraId="682BAE40">
      <w:pPr>
        <w:spacing w:after="100" w:line="360" w:lineRule="auto"/>
        <w:ind w:firstLine="480"/>
        <w:jc w:val="both"/>
      </w:pPr>
      <w:r>
        <w:rPr>
          <w:rFonts w:ascii="宋体" w:hAnsi="宋体" w:eastAsia="宋体"/>
          <w:b w:val="0"/>
          <w:sz w:val="24"/>
        </w:rPr>
        <w:t>（二）工作推进组。负责推进农村产权交易市场建设，对接晋江市国家级农村产权流转交易试点工作；负责村级财务网上公开和农村集体经济合同网上公开工作，协助推进村级小型工程治理；配合做好信访处置及跟踪工作。</w:t>
      </w:r>
    </w:p>
    <w:p w14:paraId="2F6E0720">
      <w:pPr>
        <w:spacing w:after="100" w:line="360" w:lineRule="auto"/>
        <w:ind w:firstLine="480"/>
        <w:jc w:val="both"/>
      </w:pPr>
      <w:r>
        <w:rPr>
          <w:rFonts w:ascii="宋体" w:hAnsi="宋体" w:eastAsia="宋体"/>
          <w:b w:val="0"/>
          <w:sz w:val="24"/>
        </w:rPr>
        <w:t>（三）催办统计组。协助综合协调组工作，配合做好各地工作业务进度催办、培训对接和相关工作进度统计。</w:t>
      </w:r>
    </w:p>
    <w:p w14:paraId="227CA427">
      <w:pPr>
        <w:spacing w:after="100" w:line="360" w:lineRule="auto"/>
        <w:ind w:firstLine="480"/>
        <w:jc w:val="both"/>
      </w:pPr>
      <w:r>
        <w:rPr>
          <w:rFonts w:ascii="宋体" w:hAnsi="宋体" w:eastAsia="宋体"/>
          <w:b w:val="0"/>
          <w:sz w:val="24"/>
        </w:rPr>
        <w:t>（四）业务培训组。负责县级农村集体资产管理业务培训工作调研，协同相关科站做好农村集体经济收入整改对接，推进农村政策改革试点和村干部任期经济审计，协助做好举报答复和问题线索移送工作。</w:t>
      </w:r>
    </w:p>
    <w:p w14:paraId="6EAA5AEE"/>
    <w:p w14:paraId="5E8640D6">
      <w:pPr>
        <w:pStyle w:val="3"/>
        <w:keepNext/>
      </w:pPr>
      <w:r>
        <w:rPr>
          <w:rFonts w:ascii="黑体" w:hAnsi="黑体" w:eastAsia="黑体"/>
          <w:b/>
          <w:sz w:val="30"/>
        </w:rPr>
        <w:t>附件3：农村集体“三资”管理突出问题专项整治“5321”工作举措</w:t>
      </w:r>
    </w:p>
    <w:p w14:paraId="13CFBD57">
      <w:pPr>
        <w:pStyle w:val="4"/>
        <w:keepNext/>
      </w:pPr>
      <w:r>
        <w:rPr>
          <w:rFonts w:ascii="黑体" w:hAnsi="黑体" w:eastAsia="黑体"/>
          <w:b/>
          <w:sz w:val="26"/>
        </w:rPr>
        <w:t>一、持续推进5类问题整治</w:t>
      </w:r>
    </w:p>
    <w:p w14:paraId="24FDBF0A">
      <w:pPr>
        <w:spacing w:after="100" w:line="360" w:lineRule="auto"/>
        <w:ind w:firstLine="480"/>
        <w:jc w:val="both"/>
      </w:pPr>
      <w:r>
        <w:rPr>
          <w:rFonts w:ascii="宋体" w:hAnsi="宋体" w:eastAsia="宋体"/>
          <w:b w:val="0"/>
          <w:sz w:val="24"/>
        </w:rPr>
        <w:t>1.持续整治农村集体财务管理不规范问题。通过自查、抽查及专项审计等方式，排查侵吞、挪用、截留、套取集体资金行为，纠正以白条入账、无票据入账、抵顶发票入账等支出不规范情形，整治财务信息不公开、未及时公开、选择性公开等问题。</w:t>
      </w:r>
    </w:p>
    <w:p w14:paraId="34F85373">
      <w:pPr>
        <w:spacing w:after="100" w:line="360" w:lineRule="auto"/>
        <w:ind w:firstLine="480"/>
        <w:jc w:val="both"/>
      </w:pPr>
      <w:r>
        <w:rPr>
          <w:rFonts w:ascii="宋体" w:hAnsi="宋体" w:eastAsia="宋体"/>
          <w:b w:val="0"/>
          <w:sz w:val="24"/>
        </w:rPr>
        <w:t>2.持续整治农村集体经济合同不规范问题。重点对主体不符、期限超长、账款逾期等3类问题合同进行清理整改，严肃清查集体资源资产发包、租赁、拍卖和工程项目建设等合同中的“垄断包”“人情包”“权力包”等问题。</w:t>
      </w:r>
    </w:p>
    <w:p w14:paraId="7BAECD82">
      <w:pPr>
        <w:spacing w:after="100" w:line="360" w:lineRule="auto"/>
        <w:ind w:firstLine="480"/>
        <w:jc w:val="both"/>
      </w:pPr>
      <w:r>
        <w:rPr>
          <w:rFonts w:ascii="宋体" w:hAnsi="宋体" w:eastAsia="宋体"/>
          <w:b w:val="0"/>
          <w:sz w:val="24"/>
        </w:rPr>
        <w:t>3.持续推进村级债务清理。指导村集体全面梳理村级债务情况，根据债务形成原因，对已形成的债务实行分类动态管理，明确化债优先序列、责任人和化解时限，逐步化解存量债务，妥善处理长期挂账应核销的历史债务。严格控制新增债务，引导村集体规范举债，严禁举债兴办公益事业，严禁举债吃喝招待、请客送礼、滥发补贴等行为，严禁举债购买理财产品、投入平台公司等经营主体等行为，切实防控村级债务风险。</w:t>
      </w:r>
    </w:p>
    <w:p w14:paraId="7CD73B34">
      <w:pPr>
        <w:spacing w:after="100" w:line="360" w:lineRule="auto"/>
        <w:ind w:firstLine="480"/>
        <w:jc w:val="both"/>
      </w:pPr>
      <w:r>
        <w:rPr>
          <w:rFonts w:ascii="宋体" w:hAnsi="宋体" w:eastAsia="宋体"/>
          <w:b w:val="0"/>
          <w:sz w:val="24"/>
        </w:rPr>
        <w:t>4.探索推进村级小型工程治理。以惠安县作为探索开展村级小型工程管理工作省级试点，指导惠安县联合相关部门推动工程项目建设的议事程序、资金使用、工程质量和施工安全等全过程监管；安溪县、石狮市可根据本地实际组织进行。全市在总结相关试点单位工作经验及开展清查的基础上，探索将村集体为业主并进入市级农村产权流转交易平台招标的农村小型工程项目纳入市级农村集体“三资”（新版）管理平台管理。</w:t>
      </w:r>
    </w:p>
    <w:p w14:paraId="11FA618C">
      <w:pPr>
        <w:spacing w:after="100" w:line="360" w:lineRule="auto"/>
        <w:ind w:firstLine="480"/>
        <w:jc w:val="both"/>
      </w:pPr>
      <w:r>
        <w:rPr>
          <w:rFonts w:ascii="宋体" w:hAnsi="宋体" w:eastAsia="宋体"/>
          <w:b w:val="0"/>
          <w:sz w:val="24"/>
        </w:rPr>
        <w:t>5.开展村集体违规出借资金整治及审计工作。排查未经民主程序对外出借资金、未按期收回本金和利息、向本集体经济组织经营管理人员出借资金等行为，严格控制农村集体经营风险并纳入本次清理整顿范围。开展村干部任期和离任经济责任审计，确保2026年村两委换届选举前全面完成任期审计。对2024年未完成整改的问题，压实整改责任，强化整改举措、确保整改到位。对2024年已完成整改的问题，适时开展“回头看”，防止敷衍整改、虚假整改，确保真改实改。</w:t>
      </w:r>
    </w:p>
    <w:p w14:paraId="12D85B73">
      <w:pPr>
        <w:pStyle w:val="4"/>
        <w:keepNext/>
      </w:pPr>
      <w:r>
        <w:rPr>
          <w:rFonts w:ascii="黑体" w:hAnsi="黑体" w:eastAsia="黑体"/>
          <w:b/>
          <w:sz w:val="26"/>
        </w:rPr>
        <w:t>二、拓展推行3项有效的管理方式</w:t>
      </w:r>
    </w:p>
    <w:p w14:paraId="3551CD41">
      <w:pPr>
        <w:spacing w:after="100" w:line="360" w:lineRule="auto"/>
        <w:ind w:firstLine="480"/>
        <w:jc w:val="both"/>
      </w:pPr>
      <w:r>
        <w:rPr>
          <w:rFonts w:ascii="宋体" w:hAnsi="宋体" w:eastAsia="宋体"/>
          <w:b w:val="0"/>
          <w:sz w:val="24"/>
        </w:rPr>
        <w:t>6.持续开展村级财务收支非现金结算。持续全面实行村集体大额收支银行转账、小额收入二维码收款、小额支付村务卡结算。进一步完善银农直联线上审批功能和流程，严格规范审批支付流程，建立资金支付“在线审批、过程留痕、网银转账”的财务监管体系。拓展村务卡支付等方式，实现全过程轨迹监督，杜绝村集体经济组织坐收坐支问题。</w:t>
      </w:r>
    </w:p>
    <w:p w14:paraId="45114B34">
      <w:pPr>
        <w:spacing w:after="100" w:line="360" w:lineRule="auto"/>
        <w:ind w:firstLine="480"/>
        <w:jc w:val="both"/>
      </w:pPr>
      <w:r>
        <w:rPr>
          <w:rFonts w:ascii="宋体" w:hAnsi="宋体" w:eastAsia="宋体"/>
          <w:b w:val="0"/>
          <w:sz w:val="24"/>
        </w:rPr>
        <w:t>7.持续推进农村产权交易市场建设。落实省上“四立一督”工作机制，推行我市“六规范两统一”工作机制，推动村（社区）集体产权进场规范交易，核实清查线下“人情交易”、暗箱操作、规避入场等情况，促进农村集体资源要素公开交易、优化配置。探索相关平台打通互联监管。晋江市要及时总结全国农村产权流转交易试点工作经验。</w:t>
      </w:r>
    </w:p>
    <w:p w14:paraId="3C8A4A2E">
      <w:pPr>
        <w:spacing w:after="100" w:line="360" w:lineRule="auto"/>
        <w:ind w:firstLine="480"/>
        <w:jc w:val="both"/>
      </w:pPr>
      <w:r>
        <w:rPr>
          <w:rFonts w:ascii="宋体" w:hAnsi="宋体" w:eastAsia="宋体"/>
          <w:b w:val="0"/>
          <w:sz w:val="24"/>
        </w:rPr>
        <w:t>8.提升农村集体“三资”信息化管理水平。进一步完善泉州市农村集体“三资”（新版）管理平台功能，优化指标设计，完善工作流程，督促村（社区）按要求将财务数据规范、完整上传平台。同时，探索增加预警提示功能，提升监测有效性。</w:t>
      </w:r>
    </w:p>
    <w:p w14:paraId="3CE02328">
      <w:pPr>
        <w:pStyle w:val="4"/>
        <w:keepNext/>
      </w:pPr>
      <w:r>
        <w:rPr>
          <w:rFonts w:ascii="黑体" w:hAnsi="黑体" w:eastAsia="黑体"/>
          <w:b/>
          <w:sz w:val="26"/>
        </w:rPr>
        <w:t>三、持续提高2类工作公开效能</w:t>
      </w:r>
    </w:p>
    <w:p w14:paraId="4FD7D0A3">
      <w:pPr>
        <w:spacing w:after="100" w:line="360" w:lineRule="auto"/>
        <w:ind w:firstLine="480"/>
        <w:jc w:val="both"/>
      </w:pPr>
      <w:r>
        <w:rPr>
          <w:rFonts w:ascii="宋体" w:hAnsi="宋体" w:eastAsia="宋体"/>
          <w:b w:val="0"/>
          <w:sz w:val="24"/>
        </w:rPr>
        <w:t>9.持续提升村财网上公开质效。拓展农村集体经济组织财务网上公开内容，在按月或按季定期公开村级现金日记账、银行存款日记账等报表基础上，组织各村（社区）录入村集体资产资源情况，并通过市级农村集体“三资”（新版）管理平台村级财务网上公开管理系统“一键公开”向省级农村集体资产监督管理平台推送村财简表和公开图片，实现“全面公开”。</w:t>
      </w:r>
    </w:p>
    <w:p w14:paraId="36597094">
      <w:pPr>
        <w:spacing w:after="100" w:line="360" w:lineRule="auto"/>
        <w:ind w:firstLine="480"/>
        <w:jc w:val="both"/>
      </w:pPr>
      <w:r>
        <w:rPr>
          <w:rFonts w:ascii="宋体" w:hAnsi="宋体" w:eastAsia="宋体"/>
          <w:b w:val="0"/>
          <w:sz w:val="24"/>
        </w:rPr>
        <w:t>10.持续提高村集体经济合同网上公开监管效能。督促农村集体全面梳理村集体经济合同，将有效期内的集体资产资源发包、租赁等5个经济合同要素信息（报备审批表、村集体或村民会议决策记录、招标公告、中标公告、合同原文）录入泉州市农村集体“三资”新版管理平台，上传至省级农村集体资产监督管理平台村级合同管理系统线上公开，通过预警手段提高合同网上公开监管效能，确保做到“应公开尽公开”。</w:t>
      </w:r>
    </w:p>
    <w:p w14:paraId="77988DE1">
      <w:pPr>
        <w:pStyle w:val="4"/>
        <w:keepNext/>
      </w:pPr>
      <w:r>
        <w:rPr>
          <w:rFonts w:ascii="黑体" w:hAnsi="黑体" w:eastAsia="黑体"/>
          <w:b/>
          <w:sz w:val="26"/>
        </w:rPr>
        <w:t>四、开展农村集体资产精准清查</w:t>
      </w:r>
    </w:p>
    <w:p w14:paraId="58C4CBDF">
      <w:pPr>
        <w:spacing w:after="100" w:line="360" w:lineRule="auto"/>
        <w:ind w:firstLine="480"/>
        <w:jc w:val="both"/>
      </w:pPr>
      <w:r>
        <w:rPr>
          <w:rFonts w:ascii="宋体" w:hAnsi="宋体" w:eastAsia="宋体"/>
          <w:b w:val="0"/>
          <w:sz w:val="24"/>
        </w:rPr>
        <w:t>11.组织各地结合2024年度农村集体资产清查，开展农村集体“三资”精准清查，重点清查核实权属不清的零散资产、财政扶持资金形成的资产，全面查漏补缺，摸清摸实农村集体资产底数，及时录入全国农村集体资产监督管理平台，强化农村集体资产精准清查成果应用，杜绝瞒报漏报错报问题发生。清查结果应按规定及时公开，接受群众监督。</w:t>
      </w:r>
    </w:p>
    <w:p w14:paraId="00F808C0">
      <w:pPr>
        <w:pStyle w:val="3"/>
        <w:keepNext/>
      </w:pPr>
    </w:p>
    <w:sectPr>
      <w:footerReference r:id="rId5" w:type="default"/>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B45B9">
    <w:pPr>
      <w:pStyle w:val="24"/>
      <w:jc w:val="center"/>
    </w:pPr>
    <w:r>
      <w:rPr>
        <w:rFonts w:ascii="宋体" w:hAnsi="宋体" w:eastAsia="宋体"/>
        <w:b w:val="0"/>
        <w:sz w:val="18"/>
      </w:rPr>
      <w:t>根据政府官网公开页面正文整理，仅用于知识库演示与内部学习。根据政府官网公开页面正文整理，仅用于知识库演示与内部学习。</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D36B7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4214</Words>
  <Characters>4374</Characters>
  <Lines>0</Lines>
  <Paragraphs>0</Paragraphs>
  <TotalTime>1</TotalTime>
  <ScaleCrop>false</ScaleCrop>
  <LinksUpToDate>false</LinksUpToDate>
  <CharactersWithSpaces>4374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黄晓宁</cp:lastModifiedBy>
  <dcterms:modified xsi:type="dcterms:W3CDTF">2026-07-30T05:39:29Z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eyJoZGlkIjoiYWQzOTBiMWZlMmUzNGIzNTU5NDk5NDg0MjM1YWNkZDMiLCJ1c2VySWQiOiI3NzM3MDc0NDgifQ==</vt:lpwstr>
  </property>
  <property fmtid="{D5CDD505-2E9C-101B-9397-08002B2CF9AE}" pid="3" name="KSOProductBuildVer">
    <vt:lpwstr>2052-12.1.0.26895</vt:lpwstr>
  </property>
  <property fmtid="{D5CDD505-2E9C-101B-9397-08002B2CF9AE}" pid="4" name="ICV">
    <vt:lpwstr>42F2922955F643239E5E0FA80F9E11E5_12</vt:lpwstr>
  </property>
</Properties>
</file>