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Batch Layer Benchmark Results</w:t>
      </w:r>
    </w:p>
    <w:p>
      <w:pPr>
        <w:spacing w:after="200"/>
      </w:pPr>
      <w:r>
        <w:t xml:space="preserve">Scalable Cloud Programming CA — Nalini</w:t>
      </w:r>
    </w:p>
    <w:p>
      <w:pPr>
        <w:spacing w:after="300"/>
      </w:pPr>
      <w:r>
        <w:t xml:space="preserve">Dataset: Kaggle Web Server Access Logs (access.log, ~3.5GB) processed via PySpark on AWS EMR (m5.xlarge instances).</w:t>
      </w:r>
    </w:p>
    <w:p>
      <w:pPr>
        <w:pStyle w:val="Heading2"/>
      </w:pPr>
      <w:r>
        <w:t xml:space="preserve">Execution Time, Speedup, and Efficiency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1550"/>
        <w:gridCol w:w="1550"/>
      </w:tblGrid>
      <w:tr>
        <w:tc>
          <w:tcPr>
            <w:tcW w:type="dxa" w:w="1500"/>
            <w:shd w:fill="D9E2F3" w:color="auto" w:val="clear"/>
          </w:tcPr>
          <w:p>
            <w:r>
              <w:rPr>
                <w:b/>
                <w:bCs/>
              </w:rPr>
              <w:t xml:space="preserve">Workers</w:t>
            </w:r>
          </w:p>
        </w:tc>
        <w:tc>
          <w:tcPr>
            <w:tcW w:type="dxa" w:w="2200"/>
            <w:shd w:fill="D9E2F3" w:color="auto" w:val="clear"/>
          </w:tcPr>
          <w:p>
            <w:r>
              <w:rPr>
                <w:b/>
                <w:bCs/>
              </w:rPr>
              <w:t xml:space="preserve">Cluster Config</w:t>
            </w:r>
          </w:p>
        </w:tc>
        <w:tc>
          <w:tcPr>
            <w:tcW w:type="dxa" w:w="2200"/>
            <w:shd w:fill="D9E2F3" w:color="auto" w:val="clear"/>
          </w:tcPr>
          <w:p>
            <w:r>
              <w:rPr>
                <w:b/>
                <w:bCs/>
              </w:rPr>
              <w:t xml:space="preserve">Execution Time</w:t>
            </w:r>
          </w:p>
        </w:tc>
        <w:tc>
          <w:tcPr>
            <w:tcW w:type="dxa" w:w="1550"/>
            <w:shd w:fill="D9E2F3" w:color="auto" w:val="clear"/>
          </w:tcPr>
          <w:p>
            <w:r>
              <w:rPr>
                <w:b/>
                <w:bCs/>
              </w:rPr>
              <w:t xml:space="preserve">Speedup</w:t>
            </w:r>
          </w:p>
        </w:tc>
        <w:tc>
          <w:tcPr>
            <w:tcW w:type="dxa" w:w="1550"/>
            <w:shd w:fill="D9E2F3" w:color="auto" w:val="clear"/>
          </w:tcPr>
          <w:p>
            <w:r>
              <w:rPr>
                <w:b/>
                <w:bCs/>
              </w:rPr>
              <w:t xml:space="preserve">Efficiency</w:t>
            </w:r>
          </w:p>
        </w:tc>
      </w:tr>
      <w:tr>
        <w:tc>
          <w:tcPr>
            <w:tcW w:type="dxa" w:w="1500"/>
          </w:tcPr>
          <w:p>
            <w:r>
              <w:rPr>
                <w:b w:val="false"/>
                <w:bCs w:val="false"/>
              </w:rPr>
              <w:t xml:space="preserve">1</w:t>
            </w:r>
          </w:p>
        </w:tc>
        <w:tc>
          <w:tcPr>
            <w:tcW w:type="dxa" w:w="2200"/>
          </w:tcPr>
          <w:p>
            <w:r>
              <w:rPr>
                <w:b w:val="false"/>
                <w:bCs w:val="false"/>
              </w:rPr>
              <w:t xml:space="preserve">m5.xlarge x 1 core</w:t>
            </w:r>
          </w:p>
        </w:tc>
        <w:tc>
          <w:tcPr>
            <w:tcW w:type="dxa" w:w="2200"/>
          </w:tcPr>
          <w:p>
            <w:r>
              <w:rPr>
                <w:b w:val="false"/>
                <w:bCs w:val="false"/>
              </w:rPr>
              <w:t xml:space="preserve">410.4s (6m 50s)</w:t>
            </w:r>
          </w:p>
        </w:tc>
        <w:tc>
          <w:tcPr>
            <w:tcW w:type="dxa" w:w="1550"/>
          </w:tcPr>
          <w:p>
            <w:r>
              <w:rPr>
                <w:b w:val="false"/>
                <w:bCs w:val="false"/>
              </w:rPr>
              <w:t xml:space="preserve">1.00x</w:t>
            </w:r>
          </w:p>
        </w:tc>
        <w:tc>
          <w:tcPr>
            <w:tcW w:type="dxa" w:w="1550"/>
          </w:tcPr>
          <w:p>
            <w:r>
              <w:rPr>
                <w:b w:val="false"/>
                <w:bCs w:val="false"/>
              </w:rPr>
              <w:t xml:space="preserve">100%</w:t>
            </w:r>
          </w:p>
        </w:tc>
      </w:tr>
      <w:tr>
        <w:tc>
          <w:tcPr>
            <w:tcW w:type="dxa" w:w="1500"/>
          </w:tcPr>
          <w:p>
            <w:r>
              <w:rPr>
                <w:b w:val="false"/>
                <w:bCs w:val="false"/>
              </w:rPr>
              <w:t xml:space="preserve">2</w:t>
            </w:r>
          </w:p>
        </w:tc>
        <w:tc>
          <w:tcPr>
            <w:tcW w:type="dxa" w:w="2200"/>
          </w:tcPr>
          <w:p>
            <w:r>
              <w:rPr>
                <w:b w:val="false"/>
                <w:bCs w:val="false"/>
              </w:rPr>
              <w:t xml:space="preserve">m5.xlarge x 2 core</w:t>
            </w:r>
          </w:p>
        </w:tc>
        <w:tc>
          <w:tcPr>
            <w:tcW w:type="dxa" w:w="2200"/>
          </w:tcPr>
          <w:p>
            <w:r>
              <w:rPr>
                <w:b w:val="false"/>
                <w:bCs w:val="false"/>
              </w:rPr>
              <w:t xml:space="preserve">380.1s (6m 20s)</w:t>
            </w:r>
          </w:p>
        </w:tc>
        <w:tc>
          <w:tcPr>
            <w:tcW w:type="dxa" w:w="1550"/>
          </w:tcPr>
          <w:p>
            <w:r>
              <w:rPr>
                <w:b w:val="false"/>
                <w:bCs w:val="false"/>
              </w:rPr>
              <w:t xml:space="preserve">1.08x</w:t>
            </w:r>
          </w:p>
        </w:tc>
        <w:tc>
          <w:tcPr>
            <w:tcW w:type="dxa" w:w="1550"/>
          </w:tcPr>
          <w:p>
            <w:r>
              <w:rPr>
                <w:b w:val="false"/>
                <w:bCs w:val="false"/>
              </w:rPr>
              <w:t xml:space="preserve">54%</w:t>
            </w:r>
          </w:p>
        </w:tc>
      </w:tr>
      <w:tr>
        <w:tc>
          <w:tcPr>
            <w:tcW w:type="dxa" w:w="1500"/>
          </w:tcPr>
          <w:p>
            <w:r>
              <w:rPr>
                <w:b w:val="false"/>
                <w:bCs w:val="false"/>
              </w:rPr>
              <w:t xml:space="preserve">4</w:t>
            </w:r>
          </w:p>
        </w:tc>
        <w:tc>
          <w:tcPr>
            <w:tcW w:type="dxa" w:w="2200"/>
          </w:tcPr>
          <w:p>
            <w:r>
              <w:rPr>
                <w:b w:val="false"/>
                <w:bCs w:val="false"/>
              </w:rPr>
              <w:t xml:space="preserve">m5.xlarge x 4 core</w:t>
            </w:r>
          </w:p>
        </w:tc>
        <w:tc>
          <w:tcPr>
            <w:tcW w:type="dxa" w:w="2200"/>
          </w:tcPr>
          <w:p>
            <w:r>
              <w:rPr>
                <w:b w:val="false"/>
                <w:bCs w:val="false"/>
              </w:rPr>
              <w:t xml:space="preserve">294.1s (4m 54s)</w:t>
            </w:r>
          </w:p>
        </w:tc>
        <w:tc>
          <w:tcPr>
            <w:tcW w:type="dxa" w:w="1550"/>
          </w:tcPr>
          <w:p>
            <w:r>
              <w:rPr>
                <w:b w:val="false"/>
                <w:bCs w:val="false"/>
              </w:rPr>
              <w:t xml:space="preserve">1.40x</w:t>
            </w:r>
          </w:p>
        </w:tc>
        <w:tc>
          <w:tcPr>
            <w:tcW w:type="dxa" w:w="1550"/>
          </w:tcPr>
          <w:p>
            <w:r>
              <w:rPr>
                <w:b w:val="false"/>
                <w:bCs w:val="false"/>
              </w:rPr>
              <w:t xml:space="preserve">35%</w:t>
            </w:r>
          </w:p>
        </w:tc>
      </w:tr>
    </w:tbl>
    <w:p>
      <w:pPr>
        <w:spacing w:after="200"/>
      </w:pPr>
    </w:p>
    <w:p>
      <w:pPr>
        <w:pStyle w:val="Heading2"/>
      </w:pPr>
      <w:r>
        <w:t xml:space="preserve">Step Timings (from EMR)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600"/>
        <w:gridCol w:w="2600"/>
      </w:tblGrid>
      <w:tr>
        <w:tc>
          <w:tcPr>
            <w:tcW w:type="dxa" w:w="1200"/>
            <w:shd w:fill="D9E2F3" w:color="auto" w:val="clear"/>
          </w:tcPr>
          <w:p>
            <w:r>
              <w:rPr>
                <w:b/>
                <w:bCs/>
              </w:rPr>
              <w:t xml:space="preserve">Workers</w:t>
            </w:r>
          </w:p>
        </w:tc>
        <w:tc>
          <w:tcPr>
            <w:tcW w:type="dxa" w:w="2600"/>
            <w:shd w:fill="D9E2F3" w:color="auto" w:val="clear"/>
          </w:tcPr>
          <w:p>
            <w:r>
              <w:rPr>
                <w:b/>
                <w:bCs/>
              </w:rPr>
              <w:t xml:space="preserve">Step ID</w:t>
            </w:r>
          </w:p>
        </w:tc>
        <w:tc>
          <w:tcPr>
            <w:tcW w:type="dxa" w:w="2600"/>
            <w:shd w:fill="D9E2F3" w:color="auto" w:val="clear"/>
          </w:tcPr>
          <w:p>
            <w:r>
              <w:rPr>
                <w:b/>
                <w:bCs/>
              </w:rPr>
              <w:t xml:space="preserve">Start Time (UTC)</w:t>
            </w:r>
          </w:p>
        </w:tc>
        <w:tc>
          <w:tcPr>
            <w:tcW w:type="dxa" w:w="2600"/>
            <w:shd w:fill="D9E2F3" w:color="auto" w:val="clear"/>
          </w:tcPr>
          <w:p>
            <w:r>
              <w:rPr>
                <w:b/>
                <w:bCs/>
              </w:rPr>
              <w:t xml:space="preserve">End Time (UTC)</w:t>
            </w:r>
          </w:p>
        </w:tc>
      </w:tr>
      <w:tr>
        <w:tc>
          <w:tcPr>
            <w:tcW w:type="dxa" w:w="1200"/>
          </w:tcPr>
          <w:p>
            <w:r>
              <w:rPr>
                <w:b w:val="false"/>
                <w:bCs w:val="false"/>
              </w:rPr>
              <w:t xml:space="preserve">1</w:t>
            </w:r>
          </w:p>
        </w:tc>
        <w:tc>
          <w:tcPr>
            <w:tcW w:type="dxa" w:w="2600"/>
          </w:tcPr>
          <w:p>
            <w:r>
              <w:rPr>
                <w:b w:val="false"/>
                <w:bCs w:val="false"/>
              </w:rPr>
              <w:t xml:space="preserve">s-10133333995T3TYHB391</w:t>
            </w:r>
          </w:p>
        </w:tc>
        <w:tc>
          <w:tcPr>
            <w:tcW w:type="dxa" w:w="2600"/>
          </w:tcPr>
          <w:p>
            <w:r>
              <w:rPr>
                <w:b w:val="false"/>
                <w:bCs w:val="false"/>
              </w:rPr>
              <w:t xml:space="preserve">2026-07-27 22:32:55</w:t>
            </w:r>
          </w:p>
        </w:tc>
        <w:tc>
          <w:tcPr>
            <w:tcW w:type="dxa" w:w="2600"/>
          </w:tcPr>
          <w:p>
            <w:r>
              <w:rPr>
                <w:b w:val="false"/>
                <w:bCs w:val="false"/>
              </w:rPr>
              <w:t xml:space="preserve">2026-07-27 22:39:46</w:t>
            </w:r>
          </w:p>
        </w:tc>
      </w:tr>
      <w:tr>
        <w:tc>
          <w:tcPr>
            <w:tcW w:type="dxa" w:w="1200"/>
          </w:tcPr>
          <w:p>
            <w:r>
              <w:rPr>
                <w:b w:val="false"/>
                <w:bCs w:val="false"/>
              </w:rPr>
              <w:t xml:space="preserve">2</w:t>
            </w:r>
          </w:p>
        </w:tc>
        <w:tc>
          <w:tcPr>
            <w:tcW w:type="dxa" w:w="2600"/>
          </w:tcPr>
          <w:p>
            <w:r>
              <w:rPr>
                <w:b w:val="false"/>
                <w:bCs w:val="false"/>
              </w:rPr>
              <w:t xml:space="preserve">s-10085901VWNPGT3FAX8O</w:t>
            </w:r>
          </w:p>
        </w:tc>
        <w:tc>
          <w:tcPr>
            <w:tcW w:type="dxa" w:w="2600"/>
          </w:tcPr>
          <w:p>
            <w:r>
              <w:rPr>
                <w:b w:val="false"/>
                <w:bCs w:val="false"/>
              </w:rPr>
              <w:t xml:space="preserve">2026-07-27 21:53:14</w:t>
            </w:r>
          </w:p>
        </w:tc>
        <w:tc>
          <w:tcPr>
            <w:tcW w:type="dxa" w:w="2600"/>
          </w:tcPr>
          <w:p>
            <w:r>
              <w:rPr>
                <w:b w:val="false"/>
                <w:bCs w:val="false"/>
              </w:rPr>
              <w:t xml:space="preserve">2026-07-27 21:59:34</w:t>
            </w:r>
          </w:p>
        </w:tc>
      </w:tr>
      <w:tr>
        <w:tc>
          <w:tcPr>
            <w:tcW w:type="dxa" w:w="1200"/>
          </w:tcPr>
          <w:p>
            <w:r>
              <w:rPr>
                <w:b w:val="false"/>
                <w:bCs w:val="false"/>
              </w:rPr>
              <w:t xml:space="preserve">4</w:t>
            </w:r>
          </w:p>
        </w:tc>
        <w:tc>
          <w:tcPr>
            <w:tcW w:type="dxa" w:w="2600"/>
          </w:tcPr>
          <w:p>
            <w:r>
              <w:rPr>
                <w:b w:val="false"/>
                <w:bCs w:val="false"/>
              </w:rPr>
              <w:t xml:space="preserve">s-05813261XQE5145MBZFV</w:t>
            </w:r>
          </w:p>
        </w:tc>
        <w:tc>
          <w:tcPr>
            <w:tcW w:type="dxa" w:w="2600"/>
          </w:tcPr>
          <w:p>
            <w:r>
              <w:rPr>
                <w:b w:val="false"/>
                <w:bCs w:val="false"/>
              </w:rPr>
              <w:t xml:space="preserve">2026-07-27 22:41:36</w:t>
            </w:r>
          </w:p>
        </w:tc>
        <w:tc>
          <w:tcPr>
            <w:tcW w:type="dxa" w:w="2600"/>
          </w:tcPr>
          <w:p>
            <w:r>
              <w:rPr>
                <w:b w:val="false"/>
                <w:bCs w:val="false"/>
              </w:rPr>
              <w:t xml:space="preserve">2026-07-27 22:46:30</w:t>
            </w:r>
          </w:p>
        </w:tc>
      </w:tr>
    </w:tbl>
    <w:p>
      <w:pPr>
        <w:spacing w:after="200"/>
      </w:pPr>
    </w:p>
    <w:p>
      <w:pPr>
        <w:pStyle w:val="Heading2"/>
      </w:pPr>
      <w:r>
        <w:t xml:space="preserve">Data Quality</w:t>
      </w:r>
    </w:p>
    <w:p>
      <w:r>
        <w:t xml:space="preserve">Confirmed from the final batch run (cluster j-3QGOK0I9DIKTT, step s-032986314UKTQ2VN4UNF, output at s3://scp-nalini-logs-2026/batch-results-final/data_quality/):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shd w:fill="D9E2F3" w:color="auto" w:val="clear"/>
          </w:tcPr>
          <w:p>
            <w:r>
              <w:rPr>
                <w:b/>
                <w:bCs/>
              </w:rPr>
              <w:t xml:space="preserve">Total lines read</w:t>
            </w:r>
          </w:p>
        </w:tc>
        <w:tc>
          <w:tcPr>
            <w:tcW w:type="dxa" w:w="3000"/>
          </w:tcPr>
          <w:p>
            <w:r>
              <w:rPr>
                <w:b w:val="false"/>
                <w:bCs w:val="false"/>
              </w:rPr>
              <w:t xml:space="preserve">10,365,152</w:t>
            </w:r>
          </w:p>
        </w:tc>
      </w:tr>
      <w:tr>
        <w:tc>
          <w:tcPr>
            <w:tcW w:type="dxa" w:w="3000"/>
            <w:shd w:fill="D9E2F3" w:color="auto" w:val="clear"/>
          </w:tcPr>
          <w:p>
            <w:r>
              <w:rPr>
                <w:b/>
                <w:bCs/>
              </w:rPr>
              <w:t xml:space="preserve">Valid records</w:t>
            </w:r>
          </w:p>
        </w:tc>
        <w:tc>
          <w:tcPr>
            <w:tcW w:type="dxa" w:w="3000"/>
          </w:tcPr>
          <w:p>
            <w:r>
              <w:rPr>
                <w:b w:val="false"/>
                <w:bCs w:val="false"/>
              </w:rPr>
              <w:t xml:space="preserve">10,364,866</w:t>
            </w:r>
          </w:p>
        </w:tc>
      </w:tr>
      <w:tr>
        <w:tc>
          <w:tcPr>
            <w:tcW w:type="dxa" w:w="3000"/>
            <w:shd w:fill="D9E2F3" w:color="auto" w:val="clear"/>
          </w:tcPr>
          <w:p>
            <w:r>
              <w:rPr>
                <w:b/>
                <w:bCs/>
              </w:rPr>
              <w:t xml:space="preserve">Malformed/rejected records</w:t>
            </w:r>
          </w:p>
        </w:tc>
        <w:tc>
          <w:tcPr>
            <w:tcW w:type="dxa" w:w="3000"/>
          </w:tcPr>
          <w:p>
            <w:r>
              <w:rPr>
                <w:b w:val="false"/>
                <w:bCs w:val="false"/>
              </w:rPr>
              <w:t xml:space="preserve">286 (0.003%)</w:t>
            </w:r>
          </w:p>
        </w:tc>
      </w:tr>
    </w:tbl>
    <w:p>
      <w:pPr>
        <w:spacing w:after="200"/>
      </w:pPr>
    </w:p>
    <w:p>
      <w:r>
        <w:t xml:space="preserve">Root cause investigation: all 286 rejected lines were inspected (sample and reason breakdown at s3://scp-nalini-logs-2026/batch-results-final2/rejected_sample/ and rejected_breakdown/). None were malformed logging — every rejected line was genuine malicious/attack traffic: IoT botnet remote-code-execution exploit attempts (Yowai, Tsunami, and Cayosin malware families targeting a ThinkPHP vulnerability, which inject a shell command such as "wget ...; chmod 777 ..." into the URL path), alongside raw TLS ClientHello and BitTorrent handshake bytes sent directly to the HTTP port. The parsing regex assumes the HTTP request line contains exactly three space-separated tokens (method, path, protocol); the injected exploit payloads contain internal spaces that break this assumption, and the non-HTTP binary payloads do not match an HTTP request structure at all. This is a genuine and expected edge case when parsing real-world web server logs that include attack traffic, and is discussed further in the report as supporting evidence for the anomaly-detection use case.</w:t>
      </w:r>
    </w:p>
    <w:p>
      <w:pPr>
        <w:spacing w:after="200"/>
      </w:pPr>
    </w:p>
    <w:p>
      <w:pPr>
        <w:pStyle w:val="Heading2"/>
      </w:pPr>
      <w:r>
        <w:t xml:space="preserve">Auto-Scaling Configuration and Trigger Attempt</w:t>
      </w:r>
    </w:p>
    <w:p>
      <w:r>
        <w:t xml:space="preserve">Scale-out trigger: YARN memory available &lt; 15% (cooldown 300s)</w:t>
      </w:r>
    </w:p>
    <w:p>
      <w:r>
        <w:t xml:space="preserve">Scale-in trigger: YARN memory available &gt; 75% (cooldown 300s)</w:t>
      </w:r>
    </w:p>
    <w:p>
      <w:r>
        <w:t xml:space="preserve">Min capacity: 1, Max capacity: 5 core nodes</w:t>
      </w:r>
    </w:p>
    <w:p>
      <w:pPr>
        <w:spacing w:after="300"/>
      </w:pPr>
      <w:r>
        <w:t xml:space="preserve">The auto-scaling policy was configured and verified via the AWS EMR console (see screenshot evidence). A trigger demonstration was attempted by submitting four concurrent batch jobs against a 2-core-node cluster to generate sustained memory pressure. No scale-out event was observed within a reasonable time window. This is documented as a limitation of working within the AWS Academy Learner Lab environment (resource caps and time-limited sessions), rather than a fault in the auto-scaling configuration itself, which is independently verifiable from the EMR console screenshot.</w:t>
      </w:r>
    </w:p>
    <w:p>
      <w:pPr>
        <w:pStyle w:val="Heading2"/>
      </w:pPr>
      <w:r>
        <w:t xml:space="preserve">Observations</w:t>
      </w:r>
    </w:p>
    <w:p>
      <w:r>
        <w:t xml:space="preserve">Speedup increased with worker count but was sub-linear (1.08x at 2 workers, 1.40x at 4 workers), with efficiency dropping from 100% to 35%. Likely contributing factors: fixed Spark startup/scheduling overhead that does not shrink with added workers, limited partitioning of the single input file constraining how much work can run in parallel, and shuffle/network overhead in the groupBy aggregation stages growing with worker count. This diminishing-returns pattern is a normal and expected characteristic of this workload and dataset size.</w:t>
      </w:r>
    </w:p>
    <w:p>
      <w:pPr>
        <w:spacing w:after="200"/>
      </w:pPr>
    </w:p>
    <w:p>
      <w:pPr>
        <w:pStyle w:val="Heading2"/>
      </w:pPr>
      <w:r>
        <w:t xml:space="preserve">Environment Limitations</w:t>
      </w:r>
    </w:p>
    <w:p>
      <w:r>
        <w:t xml:space="preserve">Development was repeatedly interrupted by AWS Academy Learner Lab session resets, which terminated running EMR clusters and the Cloud9 development environment mid-task on multiple occasions. This required relaunching clusters and rerunning benchmarks several times, and is documented here as a genuine constraint of the educational lab environment rather than a flaw in the pipeline design.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2026-07-31T22:24:55.805Z</dcterms:created>
  <dcterms:modified xsi:type="dcterms:W3CDTF">2026-07-31T22:24:55.818Z</dcterms:modified>
</cp:coreProperties>
</file>

<file path=docProps/custom.xml><?xml version="1.0" encoding="utf-8"?>
<Properties xmlns="http://schemas.openxmlformats.org/officeDocument/2006/custom-properties" xmlns:vt="http://schemas.openxmlformats.org/officeDocument/2006/docPropsVTypes"/>
</file>