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8AA55">
      <w:pPr>
        <w:spacing w:before="0" w:after="0" w:line="240" w:lineRule="auto"/>
      </w:pPr>
    </w:p>
    <w:p w14:paraId="7F3E67F0">
      <w:pPr>
        <w:spacing w:before="0" w:after="0" w:line="240" w:lineRule="auto"/>
      </w:pPr>
    </w:p>
    <w:p w14:paraId="0557F178">
      <w:pPr>
        <w:spacing w:before="400" w:after="40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132"/>
        </w:rPr>
        <w:t>总</w:t>
      </w:r>
    </w:p>
    <w:p w14:paraId="06CA51D3">
      <w:pPr>
        <w:spacing w:before="400" w:after="40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132"/>
        </w:rPr>
        <w:t>结</w:t>
      </w:r>
    </w:p>
    <w:p w14:paraId="16712FA6">
      <w:pPr>
        <w:spacing w:before="400" w:after="40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132"/>
        </w:rPr>
        <w:t>报</w:t>
      </w:r>
    </w:p>
    <w:p w14:paraId="3DEDC135">
      <w:pPr>
        <w:spacing w:before="400" w:after="40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132"/>
        </w:rPr>
        <w:t>告</w:t>
      </w:r>
    </w:p>
    <w:p w14:paraId="6B72FD69">
      <w:pPr>
        <w:spacing w:before="0" w:after="120" w:line="240" w:lineRule="auto"/>
      </w:pPr>
    </w:p>
    <w:p w14:paraId="18B9D797">
      <w:pPr>
        <w:spacing w:before="0" w:after="120" w:line="240" w:lineRule="auto"/>
      </w:pPr>
    </w:p>
    <w:p w14:paraId="01331A4D">
      <w:pPr>
        <w:spacing w:after="200"/>
        <w:ind w:firstLine="1285" w:firstLineChars="400"/>
        <w:jc w:val="both"/>
      </w:pPr>
      <w:r>
        <w:rPr>
          <w:rFonts w:ascii="Times New Roman" w:hAnsi="Times New Roman" w:eastAsia="黑体"/>
          <w:b/>
          <w:color w:val="000000"/>
          <w:sz w:val="32"/>
        </w:rPr>
        <w:t>守望——基于多智能体编排的安全运营平台</w:t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1515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sdtEndPr>
      <w:sdtContent>
        <w:p w14:paraId="2C6D952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10" w:name="_GoBack"/>
          <w:bookmarkEnd w:id="10"/>
          <w:r>
            <w:rPr>
              <w:rFonts w:ascii="宋体" w:hAnsi="宋体" w:eastAsia="宋体"/>
              <w:sz w:val="21"/>
            </w:rPr>
            <w:t>目录</w:t>
          </w:r>
        </w:p>
        <w:p w14:paraId="7086C73E">
          <w:pPr>
            <w:pStyle w:val="26"/>
            <w:tabs>
              <w:tab w:val="right" w:leader="dot" w:pos="8504"/>
            </w:tabs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asciiTheme="minorHAnsi" w:hAnsiTheme="minorHAnsi" w:eastAsiaTheme="minorEastAsia" w:cstheme="minorBidi"/>
              <w:sz w:val="22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US" w:eastAsia="en-US" w:bidi="ar-SA"/>
            </w:rPr>
            <w:instrText xml:space="preserve">TOC \o "1-1" \h \u </w:instrTex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instrText xml:space="preserve"> HYPERLINK \l _Toc29817 </w:instrTex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摘  要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PAGEREF _Toc29817 \h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3</w: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end"/>
          </w:r>
        </w:p>
        <w:p w14:paraId="45DE3150">
          <w:pPr>
            <w:pStyle w:val="26"/>
            <w:tabs>
              <w:tab w:val="right" w:leader="dot" w:pos="8504"/>
            </w:tabs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instrText xml:space="preserve"> HYPERLINK \l _Toc8518 </w:instrTex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1. 背景与目标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PAGEREF _Toc8518 \h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5</w: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end"/>
          </w:r>
        </w:p>
        <w:p w14:paraId="71475217">
          <w:pPr>
            <w:pStyle w:val="26"/>
            <w:tabs>
              <w:tab w:val="right" w:leader="dot" w:pos="8504"/>
            </w:tabs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instrText xml:space="preserve"> HYPERLINK \l _Toc7730 </w:instrTex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2. 总体架构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PAGEREF _Toc7730 \h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6</w: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end"/>
          </w:r>
        </w:p>
        <w:p w14:paraId="66F0A1F9">
          <w:pPr>
            <w:pStyle w:val="26"/>
            <w:tabs>
              <w:tab w:val="right" w:leader="dot" w:pos="8504"/>
            </w:tabs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instrText xml:space="preserve"> HYPERLINK \l _Toc19301 </w:instrTex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3. 核心能力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PAGEREF _Toc19301 \h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8</w: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end"/>
          </w:r>
        </w:p>
        <w:p w14:paraId="0279C4A0">
          <w:pPr>
            <w:pStyle w:val="26"/>
            <w:tabs>
              <w:tab w:val="right" w:leader="dot" w:pos="8504"/>
            </w:tabs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instrText xml:space="preserve"> HYPERLINK \l _Toc3604 </w:instrTex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4. 数据与事件生命周期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PAGEREF _Toc3604 \h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17</w: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end"/>
          </w:r>
        </w:p>
        <w:p w14:paraId="52E0B543">
          <w:pPr>
            <w:pStyle w:val="26"/>
            <w:tabs>
              <w:tab w:val="right" w:leader="dot" w:pos="8504"/>
            </w:tabs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instrText xml:space="preserve"> HYPERLINK \l _Toc1183 </w:instrTex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5. 测试与验证结果摘要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PAGEREF _Toc1183 \h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18</w: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end"/>
          </w:r>
        </w:p>
        <w:p w14:paraId="6CBABA06">
          <w:pPr>
            <w:pStyle w:val="26"/>
            <w:tabs>
              <w:tab w:val="right" w:leader="dot" w:pos="8504"/>
            </w:tabs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instrText xml:space="preserve"> HYPERLINK \l _Toc19692 </w:instrTex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6. 创新点与工程亮点（有证据）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PAGEREF _Toc19692 \h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21</w: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end"/>
          </w:r>
        </w:p>
        <w:p w14:paraId="0E8A0247">
          <w:pPr>
            <w:pStyle w:val="26"/>
            <w:tabs>
              <w:tab w:val="right" w:leader="dot" w:pos="8504"/>
            </w:tabs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instrText xml:space="preserve"> HYPERLINK \l _Toc31020 </w:instrTex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7. 风险与局限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PAGEREF _Toc31020 \h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22</w: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end"/>
          </w:r>
        </w:p>
        <w:p w14:paraId="1AD0B145">
          <w:pPr>
            <w:pStyle w:val="26"/>
            <w:tabs>
              <w:tab w:val="right" w:leader="dot" w:pos="8504"/>
            </w:tabs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instrText xml:space="preserve"> HYPERLINK \l _Toc2597 </w:instrTex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8. 结论与参赛可用性判定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PAGEREF _Toc2597 \h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23</w: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end"/>
          </w:r>
        </w:p>
        <w:p w14:paraId="6865B554">
          <w:pPr>
            <w:pStyle w:val="26"/>
            <w:tabs>
              <w:tab w:val="right" w:leader="dot" w:pos="8504"/>
            </w:tabs>
          </w:pP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instrText xml:space="preserve"> HYPERLINK \l _Toc26237 </w:instrTex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附图占位索引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PAGEREF _Toc26237 \h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23</w: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end"/>
          </w:r>
        </w:p>
        <w:p w14:paraId="1D3279DD">
          <w:pPr>
            <w:rPr>
              <w:rFonts w:asciiTheme="minorHAnsi" w:hAnsiTheme="minorHAnsi" w:eastAsiaTheme="minorEastAsia" w:cstheme="minorBidi"/>
              <w:sz w:val="22"/>
              <w:szCs w:val="22"/>
              <w:lang w:val="en-US" w:eastAsia="en-US" w:bidi="ar-SA"/>
            </w:rPr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</w:sdtContent>
    </w:sdt>
    <w:p w14:paraId="47838289">
      <w:p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</w:p>
    <w:p w14:paraId="7EADB754">
      <w:pPr>
        <w:spacing w:before="0" w:after="0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sectPr>
          <w:headerReference r:id="rId5" w:type="default"/>
          <w:footerReference r:id="rId6" w:type="default"/>
          <w:pgSz w:w="11906" w:h="16838"/>
          <w:pgMar w:top="3118" w:right="1701" w:bottom="1984" w:left="1701" w:header="720" w:footer="720" w:gutter="0"/>
          <w:cols w:space="720" w:num="1"/>
          <w:docGrid w:linePitch="360" w:charSpace="0"/>
        </w:sectPr>
      </w:pPr>
      <w:r>
        <w:br w:type="page"/>
      </w:r>
    </w:p>
    <w:p w14:paraId="0A57E03D">
      <w:pPr>
        <w:spacing w:before="0" w:after="0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</w:p>
    <w:p w14:paraId="70A8539D">
      <w:pPr>
        <w:spacing w:before="240" w:after="480"/>
        <w:jc w:val="center"/>
        <w:outlineLvl w:val="0"/>
      </w:pPr>
      <w:bookmarkStart w:id="0" w:name="_Toc29817"/>
      <w:r>
        <w:rPr>
          <w:rFonts w:ascii="Times New Roman" w:hAnsi="Times New Roman" w:eastAsia="黑体"/>
          <w:b/>
          <w:color w:val="000000"/>
          <w:sz w:val="44"/>
        </w:rPr>
        <w:t>摘  要</w:t>
      </w:r>
      <w:bookmarkEnd w:id="0"/>
    </w:p>
    <w:p w14:paraId="371F1B0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本项目面向网络安全运营中“告警数量大、数据来源分散、复杂事件研判依赖人工、普通大模型 Agent 工具调用缺乏约束”等问题，完成守望（Night Watch SOC）——基于多智能体编排的安全运营平台的参赛总结。系统从 syslog、API 等入口接入安全事件，经 Kafka 消息总线与 Flink 流处理完成数据源认证、Schema 校验、字段标准化、时间窗口去重、异常评分和 CEP 攻击链关联，再由 FastAPI 业务层完成事件存储、智能审计、自动响应和全链路可观测。</w:t>
      </w:r>
    </w:p>
    <w:p w14:paraId="19B50AD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在智能研判侧，系统将单次大模型调用拆解为 Decomposer、ToolBuilder、Executor、Reviewer 四层 Audit-LLM 流水线，使“问题拆解—工具规划—证据获取—结果复核”各阶段均形成结构化产物。针对 Agent 工具调用不稳定、越权、危险序列与证据幻觉问题，系统构建 Stabilizer、MCP Guard、SecurityGuard、Grounding Verifier 与 CAD 独立监督组成的多层可信控制体系，并通过审批、命令与资产双白名单、TTL 与 rollback_token 约束真实响应执行。</w:t>
      </w:r>
    </w:p>
    <w:p w14:paraId="5E3AE7E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在领域知识增强与持续演进方面，系统构建基于 MITRE ATT&amp;CK、CAPEC、Playbook、安全基线与 CVE 等内容的 Hybrid RAG，采用 Qdrant 与 pgvector 双存储、RRF 融合、重排与知识审批状态控制；同时设计隔离式 Self-Play 红蓝对抗模块，将漏报样本转化为候选检测规则，经多道审核、影子期和复检后再进入规则体系。工程以 Docker Compose 组织 Kafka、Flink、FastAPI、React、PostgreSQL、Qdrant、Redis 及可观测性组件。参赛材料侧最新全量测试结果为：pytest 867 用例、850 通过（98.0%）、14 失败、3 跳过；22 容器 Running；OpenAPI 207 操作；前端 16 路由；失败归因环境类 10 / 隔离契约 3 / 真实代码 1；质量结论 PASS_WITH_FINDINGS，具备演示可用性。本总结报告据此归纳架构、核心能力、验证证据、创新点与风险边界，供赛题 XH-202614 评审使用。</w:t>
      </w:r>
    </w:p>
    <w:p w14:paraId="6286E2E6">
      <w:pPr>
        <w:spacing w:before="24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关键词：安全智能体；安全运营；MCP Guard；RAG；Flink CEP；Grounding；CAD；Self-Play</w:t>
      </w:r>
    </w:p>
    <w:p w14:paraId="4D0A66FD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231681B6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36B8D2C1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3BB8147E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1948634F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385F373E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7A2DD870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10B21342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7A7F2EB2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4F431782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500E37E7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7FD21A5C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31882FD7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68808702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2BAC2F2B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005003DC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06B97FE3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2048DBE7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71A6325B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36CD7F02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2078A51A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3F34E320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029DF0E3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09B939FB">
      <w:pPr>
        <w:spacing w:before="0" w:after="0"/>
        <w:rPr>
          <w:rFonts w:ascii="Times New Roman" w:hAnsi="Times New Roman" w:eastAsia="楷体"/>
          <w:b/>
          <w:color w:val="000000"/>
          <w:sz w:val="30"/>
        </w:rPr>
      </w:pPr>
    </w:p>
    <w:p w14:paraId="36C78E54">
      <w:pPr>
        <w:spacing w:before="0" w:after="0"/>
        <w:outlineLvl w:val="0"/>
      </w:pPr>
      <w:bookmarkStart w:id="1" w:name="_Toc8518"/>
      <w:r>
        <w:rPr>
          <w:rFonts w:ascii="Times New Roman" w:hAnsi="Times New Roman" w:eastAsia="楷体"/>
          <w:b/>
          <w:color w:val="000000"/>
          <w:sz w:val="30"/>
        </w:rPr>
        <w:t>1. 背景与目标</w:t>
      </w:r>
      <w:bookmarkEnd w:id="1"/>
    </w:p>
    <w:p w14:paraId="19A02116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1.1 赛题与场景映射</w:t>
      </w:r>
    </w:p>
    <w:p w14:paraId="43485FD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赛题要求从场景化安全智能体、领域知识增强与工具扩展，推进到具备复杂推理、跨域协同、工具调用、观测反馈与重新规划能力的 SuperAgent。网络安全场景具有数据来源多、事件速度快、分析链路长、处置风险高等特点：仅靠规则检测难以覆盖跨阶段攻击链；单次大模型调用虽灵活，却易出现 JSON 结构错误、工具幻觉、越权序列与证据不足等问题。</w:t>
      </w:r>
    </w:p>
    <w:p w14:paraId="44B29C4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本项目选择「安全事件自动研判与处置」作为明确场景，而非泛化问答助手。总体思路是职责分治：</w:t>
      </w:r>
    </w:p>
    <w:p w14:paraId="660A19F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确定性组件（Kafka + Flink + Sigma）负责高吞吐、可重复的实时处理；</w:t>
      </w:r>
    </w:p>
    <w:p w14:paraId="1C3AB86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Agent（Audit-LLM 四层）负责需要上下文理解与多步骤判断的复杂研判；</w:t>
      </w:r>
    </w:p>
    <w:p w14:paraId="2DCED5C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可信控制层（Stabilizer、MCP Guard、SecurityGuard、Grounding、CAD）限制不确定输出对真实环境的影响；</w:t>
      </w:r>
    </w:p>
    <w:p w14:paraId="57AC3A2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运营与演进（工单/案例/复盘/反馈、Self-Play）形成发现—处置—学习闭环。</w:t>
      </w:r>
    </w:p>
    <w:p w14:paraId="401BB16D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1.2 设计目标（与工程模块对应）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17988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984EE8F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目标</w:t>
            </w:r>
          </w:p>
        </w:tc>
        <w:tc>
          <w:tcPr>
            <w:tcW w:w="2835" w:type="dxa"/>
          </w:tcPr>
          <w:p w14:paraId="01CDA2D1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核心要求</w:t>
            </w:r>
          </w:p>
        </w:tc>
        <w:tc>
          <w:tcPr>
            <w:tcW w:w="2835" w:type="dxa"/>
          </w:tcPr>
          <w:p w14:paraId="1E88E261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对应实现（材料记载）</w:t>
            </w:r>
          </w:p>
        </w:tc>
      </w:tr>
      <w:tr w14:paraId="7259F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1DEC87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实时感知</w:t>
            </w:r>
          </w:p>
        </w:tc>
        <w:tc>
          <w:tcPr>
            <w:tcW w:w="2835" w:type="dxa"/>
          </w:tcPr>
          <w:p w14:paraId="66988D1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多源日志稳定接入与实时分流</w:t>
            </w:r>
          </w:p>
        </w:tc>
        <w:tc>
          <w:tcPr>
            <w:tcW w:w="2835" w:type="dxa"/>
          </w:tcPr>
          <w:p w14:paraId="063A0A3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Kafka + Flink + Sigma + CEP</w:t>
            </w:r>
          </w:p>
        </w:tc>
      </w:tr>
      <w:tr w14:paraId="31285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30F720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自主研判</w:t>
            </w:r>
          </w:p>
        </w:tc>
        <w:tc>
          <w:tcPr>
            <w:tcW w:w="2835" w:type="dxa"/>
          </w:tcPr>
          <w:p w14:paraId="1B77899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复杂事件拆解为可验证分析任务</w:t>
            </w:r>
          </w:p>
        </w:tc>
        <w:tc>
          <w:tcPr>
            <w:tcW w:w="2835" w:type="dxa"/>
          </w:tcPr>
          <w:p w14:paraId="6874F33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Decomposer → ToolBuilder → Executor → Reviewer</w:t>
            </w:r>
          </w:p>
        </w:tc>
      </w:tr>
      <w:tr w14:paraId="44967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0461AC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受控行动</w:t>
            </w:r>
          </w:p>
        </w:tc>
        <w:tc>
          <w:tcPr>
            <w:tcW w:w="2835" w:type="dxa"/>
          </w:tcPr>
          <w:p w14:paraId="6153F5E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工具调用满足注册、权限、参数、策略与上下文</w:t>
            </w:r>
          </w:p>
        </w:tc>
        <w:tc>
          <w:tcPr>
            <w:tcW w:w="2835" w:type="dxa"/>
          </w:tcPr>
          <w:p w14:paraId="40A8935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Stabilizer + MCP Guard + SecurityGuard</w:t>
            </w:r>
          </w:p>
        </w:tc>
      </w:tr>
      <w:tr w14:paraId="59CE6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DC44BB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证据可信</w:t>
            </w:r>
          </w:p>
        </w:tc>
        <w:tc>
          <w:tcPr>
            <w:tcW w:w="2835" w:type="dxa"/>
          </w:tcPr>
          <w:p w14:paraId="4BEEC22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结论可回溯到字段、工具结果与知识证据</w:t>
            </w:r>
          </w:p>
        </w:tc>
        <w:tc>
          <w:tcPr>
            <w:tcW w:w="2835" w:type="dxa"/>
          </w:tcPr>
          <w:p w14:paraId="099882C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Evidence Trail + Grounding + CAD</w:t>
            </w:r>
          </w:p>
        </w:tc>
      </w:tr>
      <w:tr w14:paraId="22311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CFDF16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安全处置</w:t>
            </w:r>
          </w:p>
        </w:tc>
        <w:tc>
          <w:tcPr>
            <w:tcW w:w="2835" w:type="dxa"/>
          </w:tcPr>
          <w:p w14:paraId="672F0B8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策略、审批、双白名单、TTL/回滚</w:t>
            </w:r>
          </w:p>
        </w:tc>
        <w:tc>
          <w:tcPr>
            <w:tcW w:w="2835" w:type="dxa"/>
          </w:tcPr>
          <w:p w14:paraId="7AC134E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Response Engine</w:t>
            </w:r>
          </w:p>
        </w:tc>
      </w:tr>
      <w:tr w14:paraId="73216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22BA29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持续演进</w:t>
            </w:r>
          </w:p>
        </w:tc>
        <w:tc>
          <w:tcPr>
            <w:tcW w:w="2835" w:type="dxa"/>
          </w:tcPr>
          <w:p w14:paraId="0F94741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漏报→候选规则→审核→影子→提升</w:t>
            </w:r>
          </w:p>
        </w:tc>
        <w:tc>
          <w:tcPr>
            <w:tcW w:w="2835" w:type="dxa"/>
          </w:tcPr>
          <w:p w14:paraId="0848209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Self-Play + Reviewer</w:t>
            </w:r>
          </w:p>
        </w:tc>
      </w:tr>
    </w:tbl>
    <w:p w14:paraId="2F3B3DC6"/>
    <w:p w14:paraId="612D442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项目差异化重点不是增加聊天式助手，而是让 Agent 进入安全运营主链路，同时为其行动能力设置工程级边界。</w:t>
      </w:r>
    </w:p>
    <w:p w14:paraId="20B0D2F9">
      <w:pPr>
        <w:spacing w:before="280" w:after="160" w:line="360" w:lineRule="auto"/>
        <w:outlineLvl w:val="0"/>
      </w:pPr>
      <w:bookmarkStart w:id="2" w:name="_Toc7730"/>
      <w:r>
        <w:rPr>
          <w:rFonts w:ascii="Times New Roman" w:hAnsi="Times New Roman" w:eastAsia="楷体"/>
          <w:b/>
          <w:color w:val="000000"/>
          <w:sz w:val="30"/>
        </w:rPr>
        <w:t>2. 总体架构</w:t>
      </w:r>
      <w:bookmarkEnd w:id="2"/>
    </w:p>
    <w:p w14:paraId="687D0C02">
      <w:pPr>
        <w:ind w:firstLine="0"/>
        <w:jc w:val="center"/>
      </w:pPr>
      <w:r>
        <w:drawing>
          <wp:inline distT="0" distB="0" distL="114300" distR="114300">
            <wp:extent cx="5303520" cy="2983230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6CDB">
      <w:pPr>
        <w:spacing w:after="200"/>
        <w:ind w:firstLine="0"/>
        <w:jc w:val="center"/>
      </w:pPr>
      <w:r>
        <w:rPr>
          <w:rFonts w:ascii="Times New Roman" w:hAnsi="Times New Roman" w:eastAsia="楷体"/>
          <w:b w:val="0"/>
          <w:color w:val="000000"/>
          <w:sz w:val="21"/>
        </w:rPr>
        <w:t>图1 守望平台总体技术架构</w:t>
      </w:r>
    </w:p>
    <w:p w14:paraId="2ABEA8B9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2.1 五层职责</w:t>
      </w:r>
    </w:p>
    <w:p w14:paraId="605F932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平台并非单体服务，而是一组有清晰边界的进程，通过 Kafka 与 REST/SSE 通信（见图1 figures/fig-arch-overview.png 架构总览；业务层旁注 Audit-LLM 四层、RAG 双库、Self-Play 仿真闭环，细节见图5–图7）。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2126"/>
        <w:gridCol w:w="2126"/>
        <w:gridCol w:w="2126"/>
      </w:tblGrid>
      <w:tr w14:paraId="64724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4F0E8D09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层</w:t>
            </w:r>
          </w:p>
        </w:tc>
        <w:tc>
          <w:tcPr>
            <w:tcW w:w="2126" w:type="dxa"/>
          </w:tcPr>
          <w:p w14:paraId="7ACCAC8B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进程</w:t>
            </w:r>
          </w:p>
        </w:tc>
        <w:tc>
          <w:tcPr>
            <w:tcW w:w="2126" w:type="dxa"/>
          </w:tcPr>
          <w:p w14:paraId="00307040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关键职责</w:t>
            </w:r>
          </w:p>
        </w:tc>
        <w:tc>
          <w:tcPr>
            <w:tcW w:w="2126" w:type="dxa"/>
          </w:tcPr>
          <w:p w14:paraId="54C107D0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失败容忍（设计）</w:t>
            </w:r>
          </w:p>
        </w:tc>
      </w:tr>
      <w:tr w14:paraId="1D7C3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8E76A4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接入层</w:t>
            </w:r>
          </w:p>
        </w:tc>
        <w:tc>
          <w:tcPr>
            <w:tcW w:w="2126" w:type="dxa"/>
          </w:tcPr>
          <w:p w14:paraId="63A0E3E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syslog-adapter / log_simulator</w:t>
            </w:r>
          </w:p>
        </w:tc>
        <w:tc>
          <w:tcPr>
            <w:tcW w:w="2126" w:type="dxa"/>
          </w:tcPr>
          <w:p w14:paraId="7DA7E51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多源日志转 Kafka，附 API Key</w:t>
            </w:r>
          </w:p>
        </w:tc>
        <w:tc>
          <w:tcPr>
            <w:tcW w:w="2126" w:type="dxa"/>
          </w:tcPr>
          <w:p w14:paraId="717173A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单条可丢，拒绝原因可审计</w:t>
            </w:r>
          </w:p>
        </w:tc>
      </w:tr>
      <w:tr w14:paraId="3A1B0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6422652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流处理层</w:t>
            </w:r>
          </w:p>
        </w:tc>
        <w:tc>
          <w:tcPr>
            <w:tcW w:w="2126" w:type="dxa"/>
          </w:tcPr>
          <w:p w14:paraId="622D338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Flink 作业（Java 11，Flink 1.19.3）</w:t>
            </w:r>
          </w:p>
        </w:tc>
        <w:tc>
          <w:tcPr>
            <w:tcW w:w="2126" w:type="dxa"/>
          </w:tcPr>
          <w:p w14:paraId="6E706D1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校验、认证、去重、打分、CEP、Sigma 阈值聚合</w:t>
            </w:r>
          </w:p>
        </w:tc>
        <w:tc>
          <w:tcPr>
            <w:tcW w:w="2126" w:type="dxa"/>
          </w:tcPr>
          <w:p w14:paraId="362A6B4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EXACTLY_ONCE + Checkpoint</w:t>
            </w:r>
          </w:p>
        </w:tc>
      </w:tr>
      <w:tr w14:paraId="108D0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475C48F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业务层</w:t>
            </w:r>
          </w:p>
        </w:tc>
        <w:tc>
          <w:tcPr>
            <w:tcW w:w="2126" w:type="dxa"/>
          </w:tcPr>
          <w:p w14:paraId="2575E7F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FastAPI backend（服务层版本 2.0.0）</w:t>
            </w:r>
          </w:p>
        </w:tc>
        <w:tc>
          <w:tcPr>
            <w:tcW w:w="2126" w:type="dxa"/>
          </w:tcPr>
          <w:p w14:paraId="48F3217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入库、LLM 审计、响应编排、监督</w:t>
            </w:r>
          </w:p>
        </w:tc>
        <w:tc>
          <w:tcPr>
            <w:tcW w:w="2126" w:type="dxa"/>
          </w:tcPr>
          <w:p w14:paraId="0F73A60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Watchdog 自动拉起</w:t>
            </w:r>
          </w:p>
        </w:tc>
      </w:tr>
      <w:tr w14:paraId="3F08F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1E9FEA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存储层</w:t>
            </w:r>
          </w:p>
        </w:tc>
        <w:tc>
          <w:tcPr>
            <w:tcW w:w="2126" w:type="dxa"/>
          </w:tcPr>
          <w:p w14:paraId="1260704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PostgreSQL 16 + pgvector / Qdrant / Redis 7</w:t>
            </w:r>
          </w:p>
        </w:tc>
        <w:tc>
          <w:tcPr>
            <w:tcW w:w="2126" w:type="dxa"/>
          </w:tcPr>
          <w:p w14:paraId="4BC8DF4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事件、记忆、知识、审计、TTL</w:t>
            </w:r>
          </w:p>
        </w:tc>
        <w:tc>
          <w:tcPr>
            <w:tcW w:w="2126" w:type="dxa"/>
          </w:tcPr>
          <w:p w14:paraId="6A518D1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向量双写互兜</w:t>
            </w:r>
          </w:p>
        </w:tc>
      </w:tr>
      <w:tr w14:paraId="51549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3B5958F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表现层</w:t>
            </w:r>
          </w:p>
        </w:tc>
        <w:tc>
          <w:tcPr>
            <w:tcW w:w="2126" w:type="dxa"/>
          </w:tcPr>
          <w:p w14:paraId="529FEE7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React 19 + TypeScript + Tailwind 4</w:t>
            </w:r>
          </w:p>
        </w:tc>
        <w:tc>
          <w:tcPr>
            <w:tcW w:w="2126" w:type="dxa"/>
          </w:tcPr>
          <w:p w14:paraId="4B7A194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值班台、审计、运营、复盘</w:t>
            </w:r>
          </w:p>
        </w:tc>
        <w:tc>
          <w:tcPr>
            <w:tcW w:w="2126" w:type="dxa"/>
          </w:tcPr>
          <w:p w14:paraId="0DB9730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SSE 长连接与重连</w:t>
            </w:r>
          </w:p>
        </w:tc>
      </w:tr>
    </w:tbl>
    <w:p w14:paraId="17BEBF29"/>
    <w:p w14:paraId="375CE812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2.2 流处理与业务解耦原则</w:t>
      </w:r>
    </w:p>
    <w:p w14:paraId="1712AEE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Flink 为唯一流处理事实源</w:t>
      </w:r>
      <w:r>
        <w:rPr>
          <w:rFonts w:ascii="Times New Roman" w:hAnsi="Times New Roman" w:eastAsia="仿宋"/>
          <w:b w:val="0"/>
          <w:color w:val="000000"/>
          <w:sz w:val="24"/>
        </w:rPr>
        <w:t>：校验、标准化、API Key 认证、60s 去重、异常评分、CEP 攻击链、Sigma 阈值聚合均在 Java 侧完成；Python 后端为薄消费者，负责存储、记忆树、Audit-LLM、响应引擎与可观测性，不再重复实现流式逻辑。</w:t>
      </w:r>
    </w:p>
    <w:p w14:paraId="18A851F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 xml:space="preserve">Compose 全栈在 2026-09-09 实测为 </w:t>
      </w:r>
      <w:r>
        <w:rPr>
          <w:rFonts w:ascii="Times New Roman" w:hAnsi="Times New Roman" w:eastAsia="仿宋"/>
          <w:b/>
          <w:color w:val="000000"/>
          <w:sz w:val="24"/>
        </w:rPr>
        <w:t>22 个容器全部 Running</w:t>
      </w:r>
      <w:r>
        <w:rPr>
          <w:rFonts w:ascii="Times New Roman" w:hAnsi="Times New Roman" w:eastAsia="仿宋"/>
          <w:b w:val="0"/>
          <w:color w:val="000000"/>
          <w:sz w:val="24"/>
        </w:rPr>
        <w:t>，其中 Kafka、PostgreSQL、Redis、Qdrant、Temporal-PostgreSQL 健康检查为 healthy。三个核心 Flink 作业为 LogValidationJob、AnomalyDetectionJob、SigmaThresholdAggregationJob（集群默认 3×TaskManager、15 并发槽；NDR 扩展作业需显式开启）。</w:t>
      </w:r>
    </w:p>
    <w:p w14:paraId="1F07C803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2.3 技术栈摘要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252"/>
      </w:tblGrid>
      <w:tr w14:paraId="04EC1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1D000ECF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类别</w:t>
            </w:r>
          </w:p>
        </w:tc>
        <w:tc>
          <w:tcPr>
            <w:tcW w:w="4252" w:type="dxa"/>
          </w:tcPr>
          <w:p w14:paraId="4D510C50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选型（材料记载）</w:t>
            </w:r>
          </w:p>
        </w:tc>
      </w:tr>
      <w:tr w14:paraId="54DA4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75E7122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消息总线</w:t>
            </w:r>
          </w:p>
        </w:tc>
        <w:tc>
          <w:tcPr>
            <w:tcW w:w="4252" w:type="dxa"/>
          </w:tcPr>
          <w:p w14:paraId="4FAF33E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Apache Kafka 3.7（KRaft）；主链路 7 Topic，辅以 DLQ / CEP 部分匹配等</w:t>
            </w:r>
          </w:p>
        </w:tc>
      </w:tr>
      <w:tr w14:paraId="705E2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705B75E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流处理</w:t>
            </w:r>
          </w:p>
        </w:tc>
        <w:tc>
          <w:tcPr>
            <w:tcW w:w="4252" w:type="dxa"/>
          </w:tcPr>
          <w:p w14:paraId="4004C9E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Flink 1.19.3 + CEP + Kafka Connector 3.2.0-1.19</w:t>
            </w:r>
          </w:p>
        </w:tc>
      </w:tr>
      <w:tr w14:paraId="43266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4E61A1E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后端</w:t>
            </w:r>
          </w:p>
        </w:tc>
        <w:tc>
          <w:tcPr>
            <w:tcW w:w="4252" w:type="dxa"/>
          </w:tcPr>
          <w:p w14:paraId="6139F4C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FastAPI + SQLAlchemy + pgvector + Redis + aiokafka</w:t>
            </w:r>
          </w:p>
        </w:tc>
      </w:tr>
      <w:tr w14:paraId="0E7B4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6D7C1EA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前端</w:t>
            </w:r>
          </w:p>
        </w:tc>
        <w:tc>
          <w:tcPr>
            <w:tcW w:w="4252" w:type="dxa"/>
          </w:tcPr>
          <w:p w14:paraId="549200C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React 19 + TypeScript + Tailwind CSS 4 + Framer Motion</w:t>
            </w:r>
          </w:p>
        </w:tc>
      </w:tr>
      <w:tr w14:paraId="5CE5A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1BA95FB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安全执行</w:t>
            </w:r>
          </w:p>
        </w:tc>
        <w:tc>
          <w:tcPr>
            <w:tcW w:w="4252" w:type="dxa"/>
          </w:tcPr>
          <w:p w14:paraId="5FDCF43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paramiko SSH + iptables/netsh；命令/资产双白名单</w:t>
            </w:r>
          </w:p>
        </w:tc>
      </w:tr>
      <w:tr w14:paraId="2FFA9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3F85036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知识检索</w:t>
            </w:r>
          </w:p>
        </w:tc>
        <w:tc>
          <w:tcPr>
            <w:tcW w:w="4252" w:type="dxa"/>
          </w:tcPr>
          <w:p w14:paraId="05BF171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Hybrid RAG（Qdrant + pgvector，RRF 融合与重排）</w:t>
            </w:r>
          </w:p>
        </w:tc>
      </w:tr>
      <w:tr w14:paraId="7931A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2CF1EC2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可观测性</w:t>
            </w:r>
          </w:p>
        </w:tc>
        <w:tc>
          <w:tcPr>
            <w:tcW w:w="4252" w:type="dxa"/>
          </w:tcPr>
          <w:p w14:paraId="3B9C7A2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OTel → Tempo / Jaeger；Prometheus / Grafana；pipeline `trace_id`</w:t>
            </w:r>
          </w:p>
        </w:tc>
      </w:tr>
      <w:tr w14:paraId="78587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4AE05F4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部署</w:t>
            </w:r>
          </w:p>
        </w:tc>
        <w:tc>
          <w:tcPr>
            <w:tcW w:w="4252" w:type="dxa"/>
          </w:tcPr>
          <w:p w14:paraId="36C5320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Docker Compose；镜像发布 GHCR（dev 源码构建 / prod 叠加 prod compose）</w:t>
            </w:r>
          </w:p>
        </w:tc>
      </w:tr>
    </w:tbl>
    <w:p w14:paraId="2E033DAA"/>
    <w:p w14:paraId="48EA0D02">
      <w:pPr>
        <w:spacing w:before="280" w:after="160" w:line="360" w:lineRule="auto"/>
        <w:outlineLvl w:val="0"/>
      </w:pPr>
      <w:bookmarkStart w:id="3" w:name="_Toc19301"/>
      <w:r>
        <w:rPr>
          <w:rFonts w:ascii="Times New Roman" w:hAnsi="Times New Roman" w:eastAsia="楷体"/>
          <w:b/>
          <w:color w:val="000000"/>
          <w:sz w:val="30"/>
        </w:rPr>
        <w:t>3. 核心能力</w:t>
      </w:r>
      <w:bookmarkEnd w:id="3"/>
    </w:p>
    <w:p w14:paraId="282B6E6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以下能力均有仓库模块与测试桶对应，不以口号替代证据。</w:t>
      </w:r>
    </w:p>
    <w:p w14:paraId="6DEB078D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3.1 Kafka 分级消息总线</w:t>
      </w:r>
    </w:p>
    <w:p w14:paraId="56260CC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主链路 Topic：security-logs-raw → validated / rejected → events-enriched / alerts / audit-queue → audit-results。高分或严重事件走 alerts（即时响应），中分走 audit-queue（LLM 审计），全量走 enriched（入库检索），拒绝记录带原因归档。外部接入支持 SASL_SSL（9093）与本机 PLAINTEXT_HOST（9094）。</w:t>
      </w:r>
    </w:p>
    <w:p w14:paraId="06821445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3.2 Flink 校验、异常评分与 CEP</w:t>
      </w:r>
    </w:p>
    <w:p w14:paraId="54D3E8B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LogValidationJob：JSON/Schema 校验、API Key 白名单、字段归一化、60s 去重（srcIp+eventType+messageHash）、数据源信誉评分。</w:t>
      </w:r>
    </w:p>
    <w:p w14:paraId="3BA107E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AnomalyDetectionJob：频率 / 严重度 / 时段多维评分；CEP 模式含端口扫描→C2、横向移动、数据外泄等；按分数智能路由。</w:t>
      </w:r>
    </w:p>
    <w:p w14:paraId="66EB497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SigmaThresholdAggregationJob：Sigma 命中阈值去抖聚合。材料记载 Sigma 规则引擎约 11 条规则覆盖 8 类攻击，规则化匹配延迟设计目标为亚毫秒级（不将未采集的生产吞吐写成实测 SLO）。</w:t>
      </w:r>
    </w:p>
    <w:p w14:paraId="31CE1A1B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3.3 Audit-LLM 四层流水线</w:t>
      </w:r>
    </w:p>
    <w:p w14:paraId="4FAD441A">
      <w:pPr>
        <w:ind w:firstLine="0"/>
        <w:jc w:val="center"/>
      </w:pPr>
      <w:r>
        <w:drawing>
          <wp:inline distT="0" distB="0" distL="114300" distR="114300">
            <wp:extent cx="5303520" cy="2983230"/>
            <wp:effectExtent l="0" t="0" r="190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3573">
      <w:pPr>
        <w:spacing w:after="200"/>
        <w:ind w:firstLine="0"/>
        <w:jc w:val="center"/>
      </w:pPr>
      <w:r>
        <w:rPr>
          <w:rFonts w:ascii="Times New Roman" w:hAnsi="Times New Roman" w:eastAsia="楷体"/>
          <w:b w:val="0"/>
          <w:color w:val="000000"/>
          <w:sz w:val="21"/>
        </w:rPr>
        <w:t>图5 Audit-LLM四层研判流水线与独立监督</w:t>
      </w:r>
    </w:p>
    <w:p w14:paraId="00501E1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单次 LLM 直出结论的幻觉率与不可审计性不可接受：模型可能编造「参考 MITRE T1110」却未检索、把日志告警表述为「已确认入侵」、或在缺乏资产上下文时给出处置建议。因此研判链路被拆为职责单一的四层，每层只做一件事，结构化产物写入 audit_llm_data.evidence_trail，供 CAD 穿透验证与 Grounding 核验（见图5 figures/fig-audit-pipeline.png）。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6"/>
        <w:gridCol w:w="2800"/>
        <w:gridCol w:w="1886"/>
        <w:gridCol w:w="2028"/>
      </w:tblGrid>
      <w:tr w14:paraId="7FCAA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5BE51F91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层</w:t>
            </w:r>
          </w:p>
        </w:tc>
        <w:tc>
          <w:tcPr>
            <w:tcW w:w="2126" w:type="dxa"/>
          </w:tcPr>
          <w:p w14:paraId="7BFC7A02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模块（材料记载）</w:t>
            </w:r>
          </w:p>
        </w:tc>
        <w:tc>
          <w:tcPr>
            <w:tcW w:w="2126" w:type="dxa"/>
          </w:tcPr>
          <w:p w14:paraId="05276692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输入侧重</w:t>
            </w:r>
          </w:p>
        </w:tc>
        <w:tc>
          <w:tcPr>
            <w:tcW w:w="2126" w:type="dxa"/>
          </w:tcPr>
          <w:p w14:paraId="5BFF1635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结构化产物</w:t>
            </w:r>
          </w:p>
        </w:tc>
      </w:tr>
      <w:tr w14:paraId="093BE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6D6A899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① Decomposer</w:t>
            </w:r>
          </w:p>
        </w:tc>
        <w:tc>
          <w:tcPr>
            <w:tcW w:w="2126" w:type="dxa"/>
          </w:tcPr>
          <w:p w14:paraId="4496FF6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`agents/agent_decomposer.py`</w:t>
            </w:r>
          </w:p>
        </w:tc>
        <w:tc>
          <w:tcPr>
            <w:tcW w:w="2126" w:type="dxa"/>
          </w:tcPr>
          <w:p w14:paraId="1445D63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仅事件原文</w:t>
            </w:r>
          </w:p>
        </w:tc>
        <w:tc>
          <w:tcPr>
            <w:tcW w:w="2126" w:type="dxa"/>
          </w:tcPr>
          <w:p w14:paraId="029639F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子问题：攻击类型 / 影响面 / 紧急度等</w:t>
            </w:r>
          </w:p>
        </w:tc>
      </w:tr>
      <w:tr w14:paraId="7FDA7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599922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② ToolBuilder</w:t>
            </w:r>
          </w:p>
        </w:tc>
        <w:tc>
          <w:tcPr>
            <w:tcW w:w="2126" w:type="dxa"/>
          </w:tcPr>
          <w:p w14:paraId="74CFC87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`agents/agent_tool_builder.py`</w:t>
            </w:r>
          </w:p>
        </w:tc>
        <w:tc>
          <w:tcPr>
            <w:tcW w:w="2126" w:type="dxa"/>
          </w:tcPr>
          <w:p w14:paraId="681277F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子问题清单</w:t>
            </w:r>
          </w:p>
        </w:tc>
        <w:tc>
          <w:tcPr>
            <w:tcW w:w="2126" w:type="dxa"/>
          </w:tcPr>
          <w:p w14:paraId="06E6C5F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工具计划：`rag.search` / `sigma.detect` / `asset.query` / `case.search` 等</w:t>
            </w:r>
          </w:p>
        </w:tc>
      </w:tr>
      <w:tr w14:paraId="72333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4195139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③ Executor</w:t>
            </w:r>
          </w:p>
        </w:tc>
        <w:tc>
          <w:tcPr>
            <w:tcW w:w="2126" w:type="dxa"/>
          </w:tcPr>
          <w:p w14:paraId="44BD25A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`agents/agent_executor.py`（最大）</w:t>
            </w:r>
          </w:p>
        </w:tc>
        <w:tc>
          <w:tcPr>
            <w:tcW w:w="2126" w:type="dxa"/>
          </w:tcPr>
          <w:p w14:paraId="669D871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工具返回证据</w:t>
            </w:r>
          </w:p>
        </w:tc>
        <w:tc>
          <w:tcPr>
            <w:tcW w:w="2126" w:type="dxa"/>
          </w:tcPr>
          <w:p w14:paraId="5DFE814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威胁结论与响应建议；工具调用前必经 Stabilizer → MCP Guard</w:t>
            </w:r>
          </w:p>
        </w:tc>
      </w:tr>
      <w:tr w14:paraId="67EC2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151831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④ Reviewer</w:t>
            </w:r>
          </w:p>
        </w:tc>
        <w:tc>
          <w:tcPr>
            <w:tcW w:w="2126" w:type="dxa"/>
          </w:tcPr>
          <w:p w14:paraId="6D12D5C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`agents/agent_reviewer.py`</w:t>
            </w:r>
          </w:p>
        </w:tc>
        <w:tc>
          <w:tcPr>
            <w:tcW w:w="2126" w:type="dxa"/>
          </w:tcPr>
          <w:p w14:paraId="6ECECEF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自身结论 + 证据</w:t>
            </w:r>
          </w:p>
        </w:tc>
        <w:tc>
          <w:tcPr>
            <w:tcW w:w="2126" w:type="dxa"/>
          </w:tcPr>
          <w:p w14:paraId="7553DA6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`final_verdict` + confidence + actions</w:t>
            </w:r>
          </w:p>
        </w:tc>
      </w:tr>
    </w:tbl>
    <w:p w14:paraId="5DD1D2F8"/>
    <w:p w14:paraId="6B112BA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工具调用前的 Stabilizer</w:t>
      </w:r>
      <w:r>
        <w:rPr>
          <w:rFonts w:ascii="Times New Roman" w:hAnsi="Times New Roman" w:eastAsia="仿宋"/>
          <w:b w:val="0"/>
          <w:color w:val="000000"/>
          <w:sz w:val="24"/>
        </w:rPr>
        <w:t>（Executor 内）：对 LLM 原始输出做 JSON 容错解析 → 工具名归一（含模糊匹配）→ 参数类型强转与默认补全 → Schema 必填校验；失败则构造 feedback_to_llm 供下一轮重试，避免脏 JSON / 拼写错误直接撞上守卫。</w:t>
      </w:r>
    </w:p>
    <w:p w14:paraId="4E5A8C9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旁路 Sub-Auditor</w:t>
      </w:r>
      <w:r>
        <w:rPr>
          <w:rFonts w:ascii="Times New Roman" w:hAnsi="Times New Roman" w:eastAsia="仿宋"/>
          <w:b w:val="0"/>
          <w:color w:val="000000"/>
          <w:sz w:val="24"/>
        </w:rPr>
        <w:t>：sub_auditor.py 以独立视角平行审计，与主流水线交叉验证——结论一致时抬升置信度，不一致时倾向人工复核。提示词外置为 Jinja2（prompts/ 下 decomposer / executor / reviewer / sub_auditor / evidence_verify 等模板）；测试侧有提示词完整性约束，材料记载 audit_single.py 内联 system prompt 为当次真实代码缺陷（DEF-02），与「提示词走 templates」口径不一致。</w:t>
      </w:r>
    </w:p>
    <w:p w14:paraId="41DA115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与守卫 / 监督的衔接</w:t>
      </w:r>
      <w:r>
        <w:rPr>
          <w:rFonts w:ascii="Times New Roman" w:hAnsi="Times New Roman" w:eastAsia="仿宋"/>
          <w:b w:val="0"/>
          <w:color w:val="000000"/>
          <w:sz w:val="24"/>
        </w:rPr>
        <w:t>：Executor 实际取证前经过 Stabilizer 与 MCP Guard；响应侧另经 SecurityGuard / SafeExecutor；流水线完成后 CAD 对 evidence_trail 做独立监督，Grounding 对 claim 做三层接地。测试桶：</w:t>
      </w:r>
      <w:r>
        <w:rPr>
          <w:rFonts w:ascii="Times New Roman" w:hAnsi="Times New Roman" w:eastAsia="仿宋"/>
          <w:b/>
          <w:color w:val="000000"/>
          <w:sz w:val="24"/>
        </w:rPr>
        <w:t>Audit-LLM 20 文件、通过 176 / 失败 3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；守卫 / 安全桶 </w:t>
      </w:r>
      <w:r>
        <w:rPr>
          <w:rFonts w:ascii="Times New Roman" w:hAnsi="Times New Roman" w:eastAsia="仿宋"/>
          <w:b/>
          <w:color w:val="000000"/>
          <w:sz w:val="24"/>
        </w:rPr>
        <w:t>111 / 111</w:t>
      </w:r>
      <w:r>
        <w:rPr>
          <w:rFonts w:ascii="Times New Roman" w:hAnsi="Times New Roman" w:eastAsia="仿宋"/>
          <w:b w:val="0"/>
          <w:color w:val="000000"/>
          <w:sz w:val="24"/>
        </w:rPr>
        <w:t>（见 §5.2）。</w:t>
      </w:r>
    </w:p>
    <w:p w14:paraId="534BFD88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3.4 CAD 与 Grounding</w:t>
      </w:r>
    </w:p>
    <w:p w14:paraId="37D0CCA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CAD（独立监督，不在四层流水线内）</w:t>
      </w:r>
      <w:r>
        <w:rPr>
          <w:rFonts w:ascii="Times New Roman" w:hAnsi="Times New Roman" w:eastAsia="仿宋"/>
          <w:b w:val="0"/>
          <w:color w:val="000000"/>
          <w:sz w:val="24"/>
        </w:rPr>
        <w:t>：设计哲学是「不信任任何 Agent 的汇报」。流水线完成后调用 cad.audit_pipeline(event_id, audit_llm_data)：</w:t>
      </w:r>
    </w:p>
    <w:p w14:paraId="64BB617F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穿透验证：对 `evidence_trail` 中每条 claim 程序化反查 PostgreSQL / Qdrant（例：声明「src_ip 在 IOC 列表」则查威胁情报表），而非采信 LLM 自述来源；</w:t>
      </w:r>
    </w:p>
    <w:p w14:paraId="65D7A196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指标：`hallucination_risk = 未验证数 / 总声明数`，`evidence_completeness = 验证数 / 总声明数`；</w:t>
      </w:r>
    </w:p>
    <w:p w14:paraId="15C79EF9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熔断器：累计指标超阈值则 OPEN——暂停 LLM 审计、降级为 Sigma + 异常评分规则路径；冷却约 5 分钟后 HALF_OPEN 试探，成功回 CLOSED。状态可经 `/api/cad/circuit-breaker` 查询。</w:t>
      </w:r>
    </w:p>
    <w:p w14:paraId="51A8B46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代码分层：agents/agent_cad.py 为调用入口，cad.py 承载 Verifier / ContextAuditor / CircuitBreaker。</w:t>
      </w:r>
    </w:p>
    <w:p w14:paraId="74319A68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/>
          <w:color w:val="000000"/>
          <w:sz w:val="24"/>
        </w:rPr>
        <w:t>Grounding 三层校验</w:t>
      </w:r>
      <w:r>
        <w:rPr>
          <w:rFonts w:ascii="Times New Roman" w:hAnsi="Times New Roman" w:eastAsia="仿宋"/>
          <w:b w:val="0"/>
          <w:color w:val="000000"/>
          <w:sz w:val="24"/>
        </w:rPr>
        <w:t>（grounding_verifier.py）：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15FA7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CD12E49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层</w:t>
            </w:r>
          </w:p>
        </w:tc>
        <w:tc>
          <w:tcPr>
            <w:tcW w:w="2835" w:type="dxa"/>
          </w:tcPr>
          <w:p w14:paraId="3479F504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方式</w:t>
            </w:r>
          </w:p>
        </w:tc>
        <w:tc>
          <w:tcPr>
            <w:tcW w:w="2835" w:type="dxa"/>
          </w:tcPr>
          <w:p w14:paraId="4E9E4FBF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要点</w:t>
            </w:r>
          </w:p>
        </w:tc>
      </w:tr>
      <w:tr w14:paraId="1BF24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95F2CD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① 程序化字段溯源</w:t>
            </w:r>
          </w:p>
        </w:tc>
        <w:tc>
          <w:tcPr>
            <w:tcW w:w="2835" w:type="dxa"/>
          </w:tcPr>
          <w:p w14:paraId="40DD297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查库</w:t>
            </w:r>
          </w:p>
        </w:tc>
        <w:tc>
          <w:tcPr>
            <w:tcW w:w="2835" w:type="dxa"/>
          </w:tcPr>
          <w:p w14:paraId="7BFEF01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claim 中的 IP / 事件 ID / 资产等直接对库，不问 LLM</w:t>
            </w:r>
          </w:p>
        </w:tc>
      </w:tr>
      <w:tr w14:paraId="2FB4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ECEFDF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② 知识库交叉验证</w:t>
            </w:r>
          </w:p>
        </w:tc>
        <w:tc>
          <w:tcPr>
            <w:tcW w:w="2835" w:type="dxa"/>
          </w:tcPr>
          <w:p w14:paraId="4C8D342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RAG</w:t>
            </w:r>
          </w:p>
        </w:tc>
        <w:tc>
          <w:tcPr>
            <w:tcW w:w="2835" w:type="dxa"/>
          </w:tcPr>
          <w:p w14:paraId="5FCBAD5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MITRE 技术等与知识分块做向量相似度 + 关键词匹配；材料记载双源约束——仅有 KB 命中、无事件证据时不得单独定罪</w:t>
            </w:r>
          </w:p>
        </w:tc>
      </w:tr>
      <w:tr w14:paraId="5AC8D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500CA3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③ 独立 LLM 复核</w:t>
            </w:r>
          </w:p>
        </w:tc>
        <w:tc>
          <w:tcPr>
            <w:tcW w:w="2835" w:type="dxa"/>
          </w:tcPr>
          <w:p w14:paraId="141850B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另实例</w:t>
            </w:r>
          </w:p>
        </w:tc>
        <w:tc>
          <w:tcPr>
            <w:tcW w:w="2835" w:type="dxa"/>
          </w:tcPr>
          <w:p w14:paraId="5C60CAD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独立 prompt、不与原研判上下文共享</w:t>
            </w:r>
          </w:p>
        </w:tc>
      </w:tr>
    </w:tbl>
    <w:p w14:paraId="6F303FCF"/>
    <w:p w14:paraId="1C59662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CAD 侧重整条流水线证据链的事后监督与熔断；Grounding 侧重单条 claim 的接地评分；二者与 §3.5 的事前工具闸门形成「事前约束—事中取证—事后监督」闭环。</w:t>
      </w:r>
    </w:p>
    <w:p w14:paraId="31CA855E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3.5 MCP Guard / SecurityGuard / Stabilizer</w:t>
      </w:r>
    </w:p>
    <w:p w14:paraId="261A7C85">
      <w:pPr>
        <w:ind w:firstLine="0"/>
        <w:jc w:val="center"/>
      </w:pPr>
      <w:r>
        <w:drawing>
          <wp:inline distT="0" distB="0" distL="114300" distR="114300">
            <wp:extent cx="5303520" cy="2983230"/>
            <wp:effectExtent l="0" t="0" r="190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DD95">
      <w:pPr>
        <w:spacing w:after="200"/>
        <w:ind w:firstLine="0"/>
        <w:jc w:val="center"/>
      </w:pPr>
      <w:r>
        <w:rPr>
          <w:rFonts w:ascii="Times New Roman" w:hAnsi="Times New Roman" w:eastAsia="楷体"/>
          <w:b w:val="0"/>
          <w:color w:val="000000"/>
          <w:sz w:val="21"/>
        </w:rPr>
        <w:t>图3 Agent可信调用守卫分层</w:t>
      </w:r>
    </w:p>
    <w:p w14:paraId="4A21084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工具调用可信控制按职责分层（见图3 figures/fig-guard-layers.png），理想语义是「由职责最匹配的一层处理」，而非所有异常堆到同一模块。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7CA7A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B63CB62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闸</w:t>
            </w:r>
          </w:p>
        </w:tc>
        <w:tc>
          <w:tcPr>
            <w:tcW w:w="2835" w:type="dxa"/>
          </w:tcPr>
          <w:p w14:paraId="1C44CCE3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防什么</w:t>
            </w:r>
          </w:p>
        </w:tc>
        <w:tc>
          <w:tcPr>
            <w:tcW w:w="2835" w:type="dxa"/>
          </w:tcPr>
          <w:p w14:paraId="65C3CE7A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关键机制（材料记载）</w:t>
            </w:r>
          </w:p>
        </w:tc>
      </w:tr>
      <w:tr w14:paraId="4F4BA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42DFAB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Stabilizer</w:t>
            </w:r>
          </w:p>
        </w:tc>
        <w:tc>
          <w:tcPr>
            <w:tcW w:w="2835" w:type="dxa"/>
          </w:tcPr>
          <w:p w14:paraId="6208011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烂 JSON、工具名拼写、参数类型错</w:t>
            </w:r>
          </w:p>
        </w:tc>
        <w:tc>
          <w:tcPr>
            <w:tcW w:w="2835" w:type="dxa"/>
          </w:tcPr>
          <w:p w14:paraId="5EA44B8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JsonRepair → ToolResolver → ParamCoercer → Schema；失败反馈 LLM</w:t>
            </w:r>
          </w:p>
        </w:tc>
      </w:tr>
      <w:tr w14:paraId="31403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B7AC99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MCP Guard 四闸</w:t>
            </w:r>
          </w:p>
        </w:tc>
        <w:tc>
          <w:tcPr>
            <w:tcW w:w="2835" w:type="dxa"/>
          </w:tcPr>
          <w:p w14:paraId="597882C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幻觉工具、越权、非法参数、策略违规</w:t>
            </w:r>
          </w:p>
        </w:tc>
        <w:tc>
          <w:tcPr>
            <w:tcW w:w="2835" w:type="dxa"/>
          </w:tcPr>
          <w:p w14:paraId="2750DA7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Registry 白名单 → RBAC → Pydantic 校验 → PolicyEngine（allow / deny / require_confirmation）</w:t>
            </w:r>
          </w:p>
        </w:tc>
      </w:tr>
      <w:tr w14:paraId="69F41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9BD97C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行为签名（UEBA-for-AI）</w:t>
            </w:r>
          </w:p>
        </w:tc>
        <w:tc>
          <w:tcPr>
            <w:tcW w:w="2835" w:type="dxa"/>
          </w:tcPr>
          <w:p w14:paraId="2CB9ACD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合规但「不像平时」的调用</w:t>
            </w:r>
          </w:p>
        </w:tc>
        <w:tc>
          <w:tcPr>
            <w:tcW w:w="2835" w:type="dxa"/>
          </w:tcPr>
          <w:p w14:paraId="0ABFBE9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参数 / 顺序 / 时段 / 调用者四维；默认 confirm（升级人工确认），可 shadow / deny；检测器故障 fail-open</w:t>
            </w:r>
          </w:p>
        </w:tc>
      </w:tr>
      <w:tr w14:paraId="6B891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7B1ECF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SecurityGuard</w:t>
            </w:r>
          </w:p>
        </w:tc>
        <w:tc>
          <w:tcPr>
            <w:tcW w:w="2835" w:type="dxa"/>
          </w:tcPr>
          <w:p w14:paraId="4E095B9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危险意图、危险序列、超频、上下文风险</w:t>
            </w:r>
          </w:p>
        </w:tc>
        <w:tc>
          <w:tcPr>
            <w:tcW w:w="2835" w:type="dxa"/>
          </w:tcPr>
          <w:p w14:paraId="6326BD5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IntentChecker / SequenceGuard / RateLimiter / ContextManager；响应编排 `_guarded_execute` 入口</w:t>
            </w:r>
          </w:p>
        </w:tc>
      </w:tr>
      <w:tr w14:paraId="5B518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5734BC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SafeExecutor</w:t>
            </w:r>
          </w:p>
        </w:tc>
        <w:tc>
          <w:tcPr>
            <w:tcW w:w="2835" w:type="dxa"/>
          </w:tcPr>
          <w:p w14:paraId="08AD91D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复合命令、越界目标</w:t>
            </w:r>
          </w:p>
        </w:tc>
        <w:tc>
          <w:tcPr>
            <w:tcW w:w="2835" w:type="dxa"/>
          </w:tcPr>
          <w:p w14:paraId="1EA35C9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命令/资产双白名单、执行模式 auto/soft/dry-run、执行后 PostValidator、TTL</w:t>
            </w:r>
          </w:p>
        </w:tc>
      </w:tr>
    </w:tbl>
    <w:p w14:paraId="49C47B8B"/>
    <w:p w14:paraId="3111914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 xml:space="preserve">与 Audit-LLM 的关系：Stabilizer + MCP Guard 卡在 </w:t>
      </w:r>
      <w:r>
        <w:rPr>
          <w:rFonts w:ascii="Times New Roman" w:hAnsi="Times New Roman" w:eastAsia="仿宋"/>
          <w:b/>
          <w:color w:val="000000"/>
          <w:sz w:val="24"/>
        </w:rPr>
        <w:t>Executor 取证前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；SecurityGuard + SafeExecutor 卡在 </w:t>
      </w:r>
      <w:r>
        <w:rPr>
          <w:rFonts w:ascii="Times New Roman" w:hAnsi="Times New Roman" w:eastAsia="仿宋"/>
          <w:b/>
          <w:color w:val="000000"/>
          <w:sz w:val="24"/>
        </w:rPr>
        <w:t>响应动作执行前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；CAD + Grounding 卡在 </w:t>
      </w:r>
      <w:r>
        <w:rPr>
          <w:rFonts w:ascii="Times New Roman" w:hAnsi="Times New Roman" w:eastAsia="仿宋"/>
          <w:b/>
          <w:color w:val="000000"/>
          <w:sz w:val="24"/>
        </w:rPr>
        <w:t>研判结论回写后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。2026-09-09 守卫 / 安全桶 </w:t>
      </w:r>
      <w:r>
        <w:rPr>
          <w:rFonts w:ascii="Times New Roman" w:hAnsi="Times New Roman" w:eastAsia="仿宋"/>
          <w:b/>
          <w:color w:val="000000"/>
          <w:sz w:val="24"/>
        </w:rPr>
        <w:t>13 文件、111 例全部通过、0 失败</w:t>
      </w:r>
      <w:r>
        <w:rPr>
          <w:rFonts w:ascii="Times New Roman" w:hAnsi="Times New Roman" w:eastAsia="仿宋"/>
          <w:b w:val="0"/>
          <w:color w:val="000000"/>
          <w:sz w:val="24"/>
        </w:rPr>
        <w:t>；材料同时披露「组合绕过」（合法工具+非法参数、合法单次+危险序列、提示词注入改参、RAG 投毒等）尚未系统化成攻击组合套件——单点全绿 ≠ 组合已关闭。</w:t>
      </w:r>
    </w:p>
    <w:p w14:paraId="0E6A67C1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3.6 响应引擎</w:t>
      </w:r>
    </w:p>
    <w:p w14:paraId="6BC3226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材料记载设计为预置策略与动作编排，支持 SSH 真实执行、审批分流、命令/资产双白名单、SafeExecutor 执行后校验、TTL 失效回收与 rollback_token 回滚。登录后探活显示响应策略列表长度 19、动作列表长度 5（README 亦记载「8 条策略、5 种动作」的设计口径；以探活数字为运行时事实，不以未说明的吞吐作性能结论）。</w:t>
      </w:r>
    </w:p>
    <w:p w14:paraId="68B0D209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3.7 RAG 知识增强</w:t>
      </w:r>
    </w:p>
    <w:p w14:paraId="32BB67FC">
      <w:pPr>
        <w:ind w:firstLine="0"/>
        <w:jc w:val="center"/>
      </w:pPr>
      <w:r>
        <w:drawing>
          <wp:inline distT="0" distB="0" distL="114300" distR="114300">
            <wp:extent cx="5303520" cy="2983230"/>
            <wp:effectExtent l="0" t="0" r="190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C774">
      <w:pPr>
        <w:spacing w:after="200"/>
        <w:ind w:firstLine="0"/>
        <w:jc w:val="center"/>
      </w:pPr>
      <w:r>
        <w:rPr>
          <w:rFonts w:ascii="Times New Roman" w:hAnsi="Times New Roman" w:eastAsia="楷体"/>
          <w:b w:val="0"/>
          <w:color w:val="000000"/>
          <w:sz w:val="21"/>
        </w:rPr>
        <w:t>图6 Hybrid RAG检索与知识防投毒</w:t>
      </w:r>
    </w:p>
    <w:p w14:paraId="55DF2AB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目标是让 Audit-LLM / Red Agent 等获得可追溯的权威背景（MITRE、CAPEC、Playbook 等），而非无依据的「模型记忆」。检索主路径为 Hybrid 流水线（见图6 figures/fig-rag-pipeline.png）：</w:t>
      </w:r>
    </w:p>
    <w:p w14:paraId="171CAD1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检索流水线</w:t>
      </w:r>
      <w:r>
        <w:rPr>
          <w:rFonts w:ascii="Times New Roman" w:hAnsi="Times New Roman" w:eastAsia="仿宋"/>
          <w:b w:val="0"/>
          <w:color w:val="000000"/>
          <w:sz w:val="24"/>
        </w:rPr>
        <w:t>：规则查询扩展（默认；可选 LLM rewrite / HyDE empty_only）→ dense（Qdrant，失败则 pgvector）+ BM25/词法（Qdrant sparse 或 Postgres ts_rank / 词法 overlap）→ RRF 融合（k=60，优先服务端 Fusion.RRF，失败则进程内 rrf_fuse）→ 重排（Infinity HTTP cross-encoder → 特征重排 → 可选 LLM list-rerank）。精确词（CVE / T-ID / 哈希）经 _inject_exact_terms 强制并入候选，避免被 dense 邻居淹没；检索出口 _drop_unapproved 再次过滤未审批文档。</w:t>
      </w:r>
    </w:p>
    <w:p w14:paraId="150009E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双向量存储</w:t>
      </w:r>
      <w:r>
        <w:rPr>
          <w:rFonts w:ascii="Times New Roman" w:hAnsi="Times New Roman" w:eastAsia="仿宋"/>
          <w:b w:val="0"/>
          <w:color w:val="000000"/>
          <w:sz w:val="24"/>
        </w:rPr>
        <w:t>：Qdrant 为 hybrid 事实源（soc_knowledge_chunks 与 hybrid _v2；agent 记忆独立 agent_memories）；PostgreSQL knowledge_chunks.embedding（pgvector，维度与 embedding_dim=768 对齐）作兜底。写入经分块器后 embedding 回填，并批量同步 Qdrant。</w:t>
      </w:r>
    </w:p>
    <w:p w14:paraId="39B4A4B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分块（`security_chunker`）</w:t>
      </w:r>
      <w:r>
        <w:rPr>
          <w:rFonts w:ascii="Times New Roman" w:hAnsi="Times New Roman" w:eastAsia="仿宋"/>
          <w:b w:val="0"/>
          <w:color w:val="000000"/>
          <w:sz w:val="24"/>
        </w:rPr>
        <w:t>：按「步骤/Step」→ Markdown ## → 段落 → 固定窗口（约 600 字符、overlap 80）四级回退；并构建 search_lex 供词法召回。</w:t>
      </w:r>
    </w:p>
    <w:p w14:paraId="375B6C0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导入与种子</w:t>
      </w:r>
      <w:r>
        <w:rPr>
          <w:rFonts w:ascii="Times New Roman" w:hAnsi="Times New Roman" w:eastAsia="仿宋"/>
          <w:b w:val="0"/>
          <w:color w:val="000000"/>
          <w:sz w:val="24"/>
        </w:rPr>
        <w:t>：mitre_importer / capec_importer 拉取 STIX（过滤 revoked/deprecated），映射战术与严重度后入 KB；启动期 seed_knowledge_base 预置种子文档，缺失 embedding 由受管后台回填任务补齐。</w:t>
      </w:r>
    </w:p>
    <w:p w14:paraId="7EA9F99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审批态防投毒</w:t>
      </w:r>
      <w:r>
        <w:rPr>
          <w:rFonts w:ascii="Times New Roman" w:hAnsi="Times New Roman" w:eastAsia="仿宋"/>
          <w:b w:val="0"/>
          <w:color w:val="000000"/>
          <w:sz w:val="24"/>
        </w:rPr>
        <w:t>：文档状态 pending / approved / signed_import / rejected。内部上传默认 pending，需第二人审批；签名源（如 mitre-attack / capec 等白名单）可走 signed_import；content_hash 防篡改。仅 approved / signed_import 可被检索。Self-Play 漏报反哺写入 source="self-play" 且 auto_signed=False，同样需审批后才进生产检索。</w:t>
      </w:r>
    </w:p>
    <w:p w14:paraId="4AE4352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证据断言（`evidence_verifier`）</w:t>
      </w:r>
      <w:r>
        <w:rPr>
          <w:rFonts w:ascii="Times New Roman" w:hAnsi="Times New Roman" w:eastAsia="仿宋"/>
          <w:b w:val="0"/>
          <w:color w:val="000000"/>
          <w:sz w:val="24"/>
        </w:rPr>
        <w:t>：对 claim 召回知识 → 拼验证 prompt → LLM 判定 supported / contradicted / unsupported；审计侧可对高危 threat_claims 批量验证。context_builder 将检索结果截断装配为 LLM 上下文。</w:t>
      </w:r>
    </w:p>
    <w:p w14:paraId="740FC36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运行时规模（实测）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：2026-09-09 登录态知识库界面显示 </w:t>
      </w:r>
      <w:r>
        <w:rPr>
          <w:rFonts w:ascii="Times New Roman" w:hAnsi="Times New Roman" w:eastAsia="仿宋"/>
          <w:b/>
          <w:color w:val="000000"/>
          <w:sz w:val="24"/>
        </w:rPr>
        <w:t>文档 2186、分块 6031</w:t>
      </w:r>
      <w:r>
        <w:rPr>
          <w:rFonts w:ascii="Times New Roman" w:hAnsi="Times New Roman" w:eastAsia="仿宋"/>
          <w:b w:val="0"/>
          <w:color w:val="000000"/>
          <w:sz w:val="24"/>
        </w:rPr>
        <w:t>。自动化：</w:t>
      </w:r>
      <w:r>
        <w:rPr>
          <w:rFonts w:ascii="Times New Roman" w:hAnsi="Times New Roman" w:eastAsia="仿宋"/>
          <w:b/>
          <w:color w:val="000000"/>
          <w:sz w:val="24"/>
        </w:rPr>
        <w:t>RAG / 向量 4 文件、通过 25、跳过 3</w:t>
      </w:r>
      <w:r>
        <w:rPr>
          <w:rFonts w:ascii="Times New Roman" w:hAnsi="Times New Roman" w:eastAsia="仿宋"/>
          <w:b w:val="0"/>
          <w:color w:val="000000"/>
          <w:sz w:val="24"/>
        </w:rPr>
        <w:t>（跳过为「Qdrant 已配置时的未配置降级」路径，不代表主检索失败）。不在此虚构检索吞吐或召回率 SLO。</w:t>
      </w:r>
    </w:p>
    <w:p w14:paraId="6CC0C56E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3.8 Self-Play 红蓝对抗</w:t>
      </w:r>
    </w:p>
    <w:p w14:paraId="01741232">
      <w:pPr>
        <w:ind w:firstLine="0"/>
        <w:jc w:val="center"/>
      </w:pPr>
      <w:r>
        <w:drawing>
          <wp:inline distT="0" distB="0" distL="114300" distR="114300">
            <wp:extent cx="5303520" cy="2983230"/>
            <wp:effectExtent l="0" t="0" r="190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2112">
      <w:pPr>
        <w:spacing w:after="200"/>
        <w:ind w:firstLine="0"/>
        <w:jc w:val="center"/>
      </w:pPr>
      <w:r>
        <w:rPr>
          <w:rFonts w:ascii="Times New Roman" w:hAnsi="Times New Roman" w:eastAsia="楷体"/>
          <w:b w:val="0"/>
          <w:color w:val="000000"/>
          <w:sz w:val="21"/>
        </w:rPr>
        <w:t>图7 Self-Play红蓝对抗与规则演进</w:t>
      </w:r>
    </w:p>
    <w:p w14:paraId="1A0E8B2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Self-Play 在</w:t>
      </w:r>
      <w:r>
        <w:rPr>
          <w:rFonts w:ascii="Times New Roman" w:hAnsi="Times New Roman" w:eastAsia="仿宋"/>
          <w:b/>
          <w:color w:val="000000"/>
          <w:sz w:val="24"/>
        </w:rPr>
        <w:t>隔离仿真</w:t>
      </w:r>
      <w:r>
        <w:rPr>
          <w:rFonts w:ascii="Times New Roman" w:hAnsi="Times New Roman" w:eastAsia="仿宋"/>
          <w:b w:val="0"/>
          <w:color w:val="000000"/>
          <w:sz w:val="24"/>
        </w:rPr>
        <w:t>中跑红蓝对抗闭环，默认不污染生产 ingest（见图7 figures/fig-selfplay-loop.png）。</w:t>
      </w:r>
    </w:p>
    <w:p w14:paraId="3005599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单局主路径</w:t>
      </w:r>
      <w:r>
        <w:rPr>
          <w:rFonts w:ascii="Times New Roman" w:hAnsi="Times New Roman" w:eastAsia="仿宋"/>
          <w:b w:val="0"/>
          <w:color w:val="000000"/>
          <w:sz w:val="24"/>
        </w:rPr>
        <w:t>：SelfPlayOrchestrator.run_match → 多回合 play_round：RedAgent 规划 → SimEnv 物化 → BlueObserver 观测 → NoveltyIndex → BlueLearner（漏报）→ 回合评分与课程升降 → 落库 / 事件总线。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252"/>
      </w:tblGrid>
      <w:tr w14:paraId="07CC1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5D3DB80A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角色</w:t>
            </w:r>
          </w:p>
        </w:tc>
        <w:tc>
          <w:tcPr>
            <w:tcW w:w="4252" w:type="dxa"/>
          </w:tcPr>
          <w:p w14:paraId="0781AA3C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行为（材料记载）</w:t>
            </w:r>
          </w:p>
        </w:tc>
      </w:tr>
      <w:tr w14:paraId="016EB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53E2632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RedAgent</w:t>
            </w:r>
          </w:p>
        </w:tc>
        <w:tc>
          <w:tcPr>
            <w:tcW w:w="4252" w:type="dxa"/>
          </w:tcPr>
          <w:p w14:paraId="7D1FDDE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MITRE 课程目录 L0–L6（手写金标 TTP + 可选 Enterprise 池）；可选 RAG 召回 ATT&amp;CK + LLM 规划，失败回退课程选择；支持规避变体</w:t>
            </w:r>
          </w:p>
        </w:tc>
      </w:tr>
      <w:tr w14:paraId="5E011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6D9DC7D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SimEnv</w:t>
            </w:r>
          </w:p>
        </w:tc>
        <w:tc>
          <w:tcPr>
            <w:tcW w:w="4252" w:type="dxa"/>
          </w:tcPr>
          <w:p w14:paraId="11BD887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约 10 主机 in-process 拓扑；攻击者使用文档网段 IP；不启动漏洞容器、不调用 nmap/hydra/sqlmap 等真实利用工具；输出带 `_ground_truth` / fingerprint 的仿真日志</w:t>
            </w:r>
          </w:p>
        </w:tc>
      </w:tr>
      <w:tr w14:paraId="5D99A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0737E83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BlueObserver</w:t>
            </w:r>
          </w:p>
        </w:tc>
        <w:tc>
          <w:tcPr>
            <w:tcW w:w="4252" w:type="dxa"/>
          </w:tcPr>
          <w:p w14:paraId="23D93E6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并联 Sigma + Overlay；可选 `inject`+`wait_audit` 走生产 ingest → Audit-LLM（默认关闭）</w:t>
            </w:r>
          </w:p>
        </w:tc>
      </w:tr>
      <w:tr w14:paraId="4CBBE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5889902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BlueLearner</w:t>
            </w:r>
          </w:p>
        </w:tc>
        <w:tc>
          <w:tcPr>
            <w:tcW w:w="4252" w:type="dxa"/>
          </w:tcPr>
          <w:p w14:paraId="00CBEC1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仅从漏报（FN：`is_attack and not detected`）抽取 distinctive tokens，生成 `status=candidate` 的 LearnedRule，写入本场 overlay；可选落 KB 仍需审批</w:t>
            </w:r>
          </w:p>
        </w:tc>
      </w:tr>
    </w:tbl>
    <w:p w14:paraId="553E13C2"/>
    <w:p w14:paraId="3E2FFDE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审核门 G0–G5（reviewer）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：候选规则经 scheduler 周期 drain。硬门含 G0 退化（永真/空/全合成 ID）、G1/G1b 重复（与同伴及已写 Sigma Jaccard）、G2 FP 回放（正样本 + decoy + 生产 low/info 负样本，FP 阈值可配）、G3 可迁移性（至少一个非纯 ID 的 message/url token）；软门 G4 LLM 评审、G5 历史回放（材料记载 fail-open，避免 LLM/数据故障卡死审核）。通过 → shadow，写出 rules_selfplay_shadow/*.yml 并热重载；默认 </w:t>
      </w:r>
      <w:r>
        <w:rPr>
          <w:rFonts w:ascii="Times New Roman" w:hAnsi="Times New Roman" w:eastAsia="仿宋"/>
          <w:b/>
          <w:color w:val="000000"/>
          <w:sz w:val="24"/>
        </w:rPr>
        <w:t>影子期 24h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后重跑 G2 → promoted 或 dismissed。</w:t>
      </w:r>
    </w:p>
    <w:p w14:paraId="2E55363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安全默认值</w:t>
      </w:r>
      <w:r>
        <w:rPr>
          <w:rFonts w:ascii="Times New Roman" w:hAnsi="Times New Roman" w:eastAsia="仿宋"/>
          <w:b w:val="0"/>
          <w:color w:val="000000"/>
          <w:sz w:val="24"/>
        </w:rPr>
        <w:t>：self_play_inject=false（仿真事件不进生产 ingest / 案例 / KPI）；use_llm / wait_audit 默认 false，可演示「零 LLM 开销」离线模式；max_inflight=1。胜负设计阈值示例：blue 为 recall≥0.7 且 asr≤0.35；red 为 asr≥0.5——</w:t>
      </w:r>
      <w:r>
        <w:rPr>
          <w:rFonts w:ascii="Times New Roman" w:hAnsi="Times New Roman" w:eastAsia="仿宋"/>
          <w:b/>
          <w:color w:val="000000"/>
          <w:sz w:val="24"/>
        </w:rPr>
        <w:t>仅为设计口径，非当次界面实测</w:t>
      </w:r>
      <w:r>
        <w:rPr>
          <w:rFonts w:ascii="Times New Roman" w:hAnsi="Times New Roman" w:eastAsia="仿宋"/>
          <w:b w:val="0"/>
          <w:color w:val="000000"/>
          <w:sz w:val="24"/>
        </w:rPr>
        <w:t>。</w:t>
      </w:r>
    </w:p>
    <w:p w14:paraId="7312323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测试与诚实披露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：自动化自博弈桶 </w:t>
      </w:r>
      <w:r>
        <w:rPr>
          <w:rFonts w:ascii="Times New Roman" w:hAnsi="Times New Roman" w:eastAsia="仿宋"/>
          <w:b/>
          <w:color w:val="000000"/>
          <w:sz w:val="24"/>
        </w:rPr>
        <w:t>7 文件、95 例全部通过</w:t>
      </w:r>
      <w:r>
        <w:rPr>
          <w:rFonts w:ascii="Times New Roman" w:hAnsi="Times New Roman" w:eastAsia="仿宋"/>
          <w:b w:val="0"/>
          <w:color w:val="000000"/>
          <w:sz w:val="24"/>
        </w:rPr>
        <w:t>。2026-09-09 界面</w:t>
      </w:r>
      <w:r>
        <w:rPr>
          <w:rFonts w:ascii="Times New Roman" w:hAnsi="Times New Roman" w:eastAsia="仿宋"/>
          <w:b/>
          <w:color w:val="000000"/>
          <w:sz w:val="24"/>
        </w:rPr>
        <w:t>未实际开局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，控制台指标为 </w:t>
      </w:r>
      <w:r>
        <w:rPr>
          <w:rFonts w:ascii="Times New Roman" w:hAnsi="Times New Roman" w:eastAsia="仿宋"/>
          <w:b/>
          <w:color w:val="000000"/>
          <w:sz w:val="24"/>
        </w:rPr>
        <w:t>0</w:t>
      </w:r>
      <w:r>
        <w:rPr>
          <w:rFonts w:ascii="Times New Roman" w:hAnsi="Times New Roman" w:eastAsia="仿宋"/>
          <w:b w:val="0"/>
          <w:color w:val="000000"/>
          <w:sz w:val="24"/>
        </w:rPr>
        <w:t>——不把空指标写成已达阈值，亦不虚构 ASR/recall 生产值。</w:t>
      </w:r>
    </w:p>
    <w:p w14:paraId="263BD6BD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3.9 可观测性与运营闭环</w:t>
      </w:r>
    </w:p>
    <w:p w14:paraId="2A7C099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 xml:space="preserve">流水线 trace_id / traceparent 贯穿 Flink → Kafka → Backend → 审计 → 响应；健康监控与看门狗；运营侧含告警→工单、案例管理、反馈闭环、Post-Mortem。登录后运营中心显示活跃案例 </w:t>
      </w:r>
      <w:r>
        <w:rPr>
          <w:rFonts w:ascii="Times New Roman" w:hAnsi="Times New Roman" w:eastAsia="仿宋"/>
          <w:b/>
          <w:color w:val="000000"/>
          <w:sz w:val="24"/>
        </w:rPr>
        <w:t>169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，复盘 </w:t>
      </w:r>
      <w:r>
        <w:rPr>
          <w:rFonts w:ascii="Times New Roman" w:hAnsi="Times New Roman" w:eastAsia="仿宋"/>
          <w:b/>
          <w:color w:val="000000"/>
          <w:sz w:val="24"/>
        </w:rPr>
        <w:t>31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等计数；首页值班台登录后事件量 </w:t>
      </w:r>
      <w:r>
        <w:rPr>
          <w:rFonts w:ascii="Times New Roman" w:hAnsi="Times New Roman" w:eastAsia="仿宋"/>
          <w:b/>
          <w:color w:val="000000"/>
          <w:sz w:val="24"/>
        </w:rPr>
        <w:t>262,677</w:t>
      </w:r>
      <w:r>
        <w:rPr>
          <w:rFonts w:ascii="Times New Roman" w:hAnsi="Times New Roman" w:eastAsia="仿宋"/>
          <w:b w:val="0"/>
          <w:color w:val="000000"/>
          <w:sz w:val="24"/>
        </w:rPr>
        <w:t>。</w:t>
      </w:r>
    </w:p>
    <w:p w14:paraId="77C7160D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3.10 高级能力（默认可对接、默认关闭）</w:t>
      </w:r>
    </w:p>
    <w:p w14:paraId="38611C5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NDR（含 JA3/TLS）、EDR 融合、威胁情报（MISP/TAXII）、0day 沙箱（CAPE/Cuckoo）、反钓鱼等多模块代码存在且有离线 mock 测试；生产启用依赖外部基础设施，材料明确「可对接而非内置默认开启」。</w:t>
      </w:r>
    </w:p>
    <w:p w14:paraId="563A3FB2">
      <w:pPr>
        <w:spacing w:before="280" w:after="160" w:line="360" w:lineRule="auto"/>
        <w:outlineLvl w:val="0"/>
      </w:pPr>
      <w:bookmarkStart w:id="4" w:name="_Toc3604"/>
      <w:r>
        <w:rPr>
          <w:rFonts w:ascii="Times New Roman" w:hAnsi="Times New Roman" w:eastAsia="楷体"/>
          <w:b/>
          <w:color w:val="000000"/>
          <w:sz w:val="30"/>
        </w:rPr>
        <w:t>4. 数据与事件生命周期</w:t>
      </w:r>
      <w:bookmarkEnd w:id="4"/>
    </w:p>
    <w:p w14:paraId="248997DD">
      <w:pPr>
        <w:ind w:firstLine="0"/>
        <w:jc w:val="center"/>
      </w:pPr>
      <w:r>
        <w:drawing>
          <wp:inline distT="0" distB="0" distL="114300" distR="114300">
            <wp:extent cx="5303520" cy="2983230"/>
            <wp:effectExtent l="0" t="0" r="190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7EC5">
      <w:pPr>
        <w:spacing w:after="200"/>
        <w:ind w:firstLine="0"/>
        <w:jc w:val="center"/>
      </w:pPr>
      <w:r>
        <w:rPr>
          <w:rFonts w:ascii="Times New Roman" w:hAnsi="Times New Roman" w:eastAsia="楷体"/>
          <w:b w:val="0"/>
          <w:color w:val="000000"/>
          <w:sz w:val="21"/>
        </w:rPr>
        <w:t>图2 守望平台数据与事件生命周期</w:t>
      </w:r>
    </w:p>
    <w:p w14:paraId="657A183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以「暴力破解等高危事件」为例的文字流程如下（见图2 figures/fig-data-lifecycle.png 数据流与事件生命周期）。</w:t>
      </w:r>
    </w:p>
    <w:p w14:paraId="2E7686E9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诞生：syslog / API / 模拟器携带 API Key 推入 `security-logs-raw`。</w:t>
      </w:r>
    </w:p>
    <w:p w14:paraId="3D3227B5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校验（Job1）：解析 → Schema → 认证 → 标准化 → 去重；失败进入 `rejected`（含拒绝类型与原因）；成功进入 `validated` 并附加追踪头。</w:t>
      </w:r>
    </w:p>
    <w:p w14:paraId="551D75C1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评分与关联（Job2）：多维异常分 + CEP；按阈值写入 `alerts` / `audit-queue`，全量写 `enriched`。</w:t>
      </w:r>
    </w:p>
    <w:p w14:paraId="34D67893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入库与推送：Backend 消费 enriched/alerts/audit-queue，落 PostgreSQL，SSE 推前端；高严重度同步触发审计（材料记载曾修复「高危只告警不审计」问题）。</w:t>
      </w:r>
    </w:p>
    <w:p w14:paraId="7673F7C5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5. 研判：Audit-LLM 四层产出结论与证据链。</w:t>
      </w:r>
    </w:p>
    <w:p w14:paraId="1A215DED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6. 监督：CAD / Grounding 核验；必要时熔断。</w:t>
      </w:r>
    </w:p>
    <w:p w14:paraId="440F6BF3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7. 处置：策略匹配 → SecurityGuard → 双白名单 → 执行模式分级 → SSH/防火墙动作 → 记录与回滚令牌 / TTL。</w:t>
      </w:r>
    </w:p>
    <w:p w14:paraId="54AE5B3D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8. 治理与演进：案例/工单/复盘/反馈；Self-Play 漏报可进入候选规则生命周期。</w:t>
      </w:r>
    </w:p>
    <w:p w14:paraId="1ABA864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重复事件机制：流侧 60s 去重 + 库侧 event_id 唯一索引兜底（测试报告按现行机制表述）。</w:t>
      </w:r>
    </w:p>
    <w:p w14:paraId="02A82AF5">
      <w:pPr>
        <w:spacing w:before="280" w:after="160" w:line="360" w:lineRule="auto"/>
        <w:outlineLvl w:val="0"/>
      </w:pPr>
      <w:bookmarkStart w:id="5" w:name="_Toc1183"/>
      <w:r>
        <w:rPr>
          <w:rFonts w:ascii="Times New Roman" w:hAnsi="Times New Roman" w:eastAsia="楷体"/>
          <w:b/>
          <w:color w:val="000000"/>
          <w:sz w:val="30"/>
        </w:rPr>
        <w:t>5. 测试与验证结果摘要</w:t>
      </w:r>
      <w:bookmarkEnd w:id="5"/>
    </w:p>
    <w:p w14:paraId="00BBDEA3">
      <w:pPr>
        <w:ind w:firstLine="0"/>
        <w:jc w:val="center"/>
      </w:pPr>
      <w:r>
        <w:drawing>
          <wp:inline distT="0" distB="0" distL="114300" distR="114300">
            <wp:extent cx="5303520" cy="2983230"/>
            <wp:effectExtent l="0" t="0" r="190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0C63">
      <w:pPr>
        <w:spacing w:after="200"/>
        <w:ind w:firstLine="0"/>
        <w:jc w:val="center"/>
      </w:pPr>
      <w:r>
        <w:rPr>
          <w:rFonts w:ascii="Times New Roman" w:hAnsi="Times New Roman" w:eastAsia="楷体"/>
          <w:b w:val="0"/>
          <w:color w:val="000000"/>
          <w:sz w:val="21"/>
        </w:rPr>
        <w:t>图4 测试沿事件生命周期分层</w:t>
      </w:r>
    </w:p>
    <w:p w14:paraId="790765F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 xml:space="preserve">测试类型为全方位验证（自动化回归 + 运行时探活 + 界面实测），日期 </w:t>
      </w:r>
      <w:r>
        <w:rPr>
          <w:rFonts w:ascii="Times New Roman" w:hAnsi="Times New Roman" w:eastAsia="仿宋"/>
          <w:b/>
          <w:color w:val="000000"/>
          <w:sz w:val="24"/>
        </w:rPr>
        <w:t>2026 年 9 月 9 日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，环境为本机 Docker Compose 全栈。数字来自当次执行的 JUnit / 摘要 JSON / 探活记录，经 QA 独立复核判定 </w:t>
      </w:r>
      <w:r>
        <w:rPr>
          <w:rFonts w:ascii="Times New Roman" w:hAnsi="Times New Roman" w:eastAsia="仿宋"/>
          <w:b/>
          <w:color w:val="000000"/>
          <w:sz w:val="24"/>
        </w:rPr>
        <w:t>PASS_WITH_FINDINGS</w:t>
      </w:r>
      <w:r>
        <w:rPr>
          <w:rFonts w:ascii="Times New Roman" w:hAnsi="Times New Roman" w:eastAsia="仿宋"/>
          <w:b w:val="0"/>
          <w:color w:val="000000"/>
          <w:sz w:val="24"/>
        </w:rPr>
        <w:t>（数字一致，遗留风险已披露）。见图4 figures/fig-test-layers.png 测试分层。</w:t>
      </w:r>
    </w:p>
    <w:p w14:paraId="32E8C42A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5.1 结论一览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252"/>
      </w:tblGrid>
      <w:tr w14:paraId="7D6F7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1D69E4DA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项</w:t>
            </w:r>
          </w:p>
        </w:tc>
        <w:tc>
          <w:tcPr>
            <w:tcW w:w="4252" w:type="dxa"/>
          </w:tcPr>
          <w:p w14:paraId="67977578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结果</w:t>
            </w:r>
          </w:p>
        </w:tc>
      </w:tr>
      <w:tr w14:paraId="0D8AC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40EC0C4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后端自动化</w:t>
            </w:r>
          </w:p>
        </w:tc>
        <w:tc>
          <w:tcPr>
            <w:tcW w:w="4252" w:type="dxa"/>
          </w:tcPr>
          <w:p w14:paraId="212A7B5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收集 867 例，通过 850 例（98.0%），失败 14 例，跳过 3 例，错误 0，耗时 76.36 秒；测试文件 97 个</w:t>
            </w:r>
          </w:p>
        </w:tc>
      </w:tr>
      <w:tr w14:paraId="6C39C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1AFFD45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运行时容器</w:t>
            </w:r>
          </w:p>
        </w:tc>
        <w:tc>
          <w:tcPr>
            <w:tcW w:w="4252" w:type="dxa"/>
          </w:tcPr>
          <w:p w14:paraId="0DE74B5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Compose 22 个全部 Running；Kafka / PostgreSQL / Redis / Qdrant / Temporal-PG 健康检查通过</w:t>
            </w:r>
          </w:p>
        </w:tc>
      </w:tr>
      <w:tr w14:paraId="51D71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6065160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接口探活</w:t>
            </w:r>
          </w:p>
        </w:tc>
        <w:tc>
          <w:tcPr>
            <w:tcW w:w="4252" w:type="dxa"/>
          </w:tcPr>
          <w:p w14:paraId="4C64627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匿名 18 条：3 条 200、15 条 401（符合鉴权）；登录后 15 条：14 条 200、1 条 500</w:t>
            </w:r>
          </w:p>
        </w:tc>
      </w:tr>
      <w:tr w14:paraId="20574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6EF157F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OpenAPI</w:t>
            </w:r>
          </w:p>
        </w:tc>
        <w:tc>
          <w:tcPr>
            <w:tcW w:w="4252" w:type="dxa"/>
          </w:tcPr>
          <w:p w14:paraId="44D0E8B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194 路径、207 操作（服务标题「共享记忆服务层」v2.0.0）</w:t>
            </w:r>
          </w:p>
        </w:tc>
      </w:tr>
      <w:tr w14:paraId="3C8E3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4BE18F9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前端</w:t>
            </w:r>
          </w:p>
        </w:tc>
        <w:tc>
          <w:tcPr>
            <w:tcW w:w="4252" w:type="dxa"/>
          </w:tcPr>
          <w:p w14:paraId="7127B73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16 个路由均可渲染；TypeScript 检查 0 错误；登录后首页事件量 262,677</w:t>
            </w:r>
          </w:p>
        </w:tc>
      </w:tr>
      <w:tr w14:paraId="26F7A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0AC0BCA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失败归因</w:t>
            </w:r>
          </w:p>
        </w:tc>
        <w:tc>
          <w:tcPr>
            <w:tcW w:w="4252" w:type="dxa"/>
          </w:tcPr>
          <w:p w14:paraId="33F1B61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环境 10、隔离/契约 3、真实代码 1</w:t>
            </w:r>
          </w:p>
        </w:tc>
      </w:tr>
      <w:tr w14:paraId="48793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30BF3F1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总体判定</w:t>
            </w:r>
          </w:p>
        </w:tc>
        <w:tc>
          <w:tcPr>
            <w:tcW w:w="4252" w:type="dxa"/>
          </w:tcPr>
          <w:p w14:paraId="786E154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可参赛演示</w:t>
            </w:r>
          </w:p>
        </w:tc>
      </w:tr>
    </w:tbl>
    <w:p w14:paraId="5DE02B08"/>
    <w:p w14:paraId="3FE40CAD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5.2 分模块回归（摘自测试报告表 5-2）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701"/>
        <w:gridCol w:w="1701"/>
        <w:gridCol w:w="1701"/>
      </w:tblGrid>
      <w:tr w14:paraId="441D3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2F1D901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模块</w:t>
            </w:r>
          </w:p>
        </w:tc>
        <w:tc>
          <w:tcPr>
            <w:tcW w:w="1701" w:type="dxa"/>
          </w:tcPr>
          <w:p w14:paraId="786CF6BD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文件</w:t>
            </w:r>
          </w:p>
        </w:tc>
        <w:tc>
          <w:tcPr>
            <w:tcW w:w="1701" w:type="dxa"/>
          </w:tcPr>
          <w:p w14:paraId="0357FCBC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通过</w:t>
            </w:r>
          </w:p>
        </w:tc>
        <w:tc>
          <w:tcPr>
            <w:tcW w:w="1701" w:type="dxa"/>
          </w:tcPr>
          <w:p w14:paraId="1B070CE5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失败</w:t>
            </w:r>
          </w:p>
        </w:tc>
        <w:tc>
          <w:tcPr>
            <w:tcW w:w="1701" w:type="dxa"/>
          </w:tcPr>
          <w:p w14:paraId="36EF1254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跳过</w:t>
            </w:r>
          </w:p>
        </w:tc>
      </w:tr>
      <w:tr w14:paraId="3EFA9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AC7D3D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架构 / 生命周期</w:t>
            </w:r>
          </w:p>
        </w:tc>
        <w:tc>
          <w:tcPr>
            <w:tcW w:w="1701" w:type="dxa"/>
          </w:tcPr>
          <w:p w14:paraId="14DFA72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7</w:t>
            </w:r>
          </w:p>
        </w:tc>
        <w:tc>
          <w:tcPr>
            <w:tcW w:w="1701" w:type="dxa"/>
          </w:tcPr>
          <w:p w14:paraId="130F6BC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78</w:t>
            </w:r>
          </w:p>
        </w:tc>
        <w:tc>
          <w:tcPr>
            <w:tcW w:w="1701" w:type="dxa"/>
          </w:tcPr>
          <w:p w14:paraId="56A6A79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2</w:t>
            </w:r>
          </w:p>
        </w:tc>
        <w:tc>
          <w:tcPr>
            <w:tcW w:w="1701" w:type="dxa"/>
          </w:tcPr>
          <w:p w14:paraId="3646CCE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0</w:t>
            </w:r>
          </w:p>
        </w:tc>
      </w:tr>
      <w:tr w14:paraId="5C97A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5D3E59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接入 / 日志</w:t>
            </w:r>
          </w:p>
        </w:tc>
        <w:tc>
          <w:tcPr>
            <w:tcW w:w="1701" w:type="dxa"/>
          </w:tcPr>
          <w:p w14:paraId="1E993CF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4</w:t>
            </w:r>
          </w:p>
        </w:tc>
        <w:tc>
          <w:tcPr>
            <w:tcW w:w="1701" w:type="dxa"/>
          </w:tcPr>
          <w:p w14:paraId="0894D19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19</w:t>
            </w:r>
          </w:p>
        </w:tc>
        <w:tc>
          <w:tcPr>
            <w:tcW w:w="1701" w:type="dxa"/>
          </w:tcPr>
          <w:p w14:paraId="2243FB2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0</w:t>
            </w:r>
          </w:p>
        </w:tc>
        <w:tc>
          <w:tcPr>
            <w:tcW w:w="1701" w:type="dxa"/>
          </w:tcPr>
          <w:p w14:paraId="351F7E9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0</w:t>
            </w:r>
          </w:p>
        </w:tc>
      </w:tr>
      <w:tr w14:paraId="06EA1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DE1EA2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检测</w:t>
            </w:r>
          </w:p>
        </w:tc>
        <w:tc>
          <w:tcPr>
            <w:tcW w:w="1701" w:type="dxa"/>
          </w:tcPr>
          <w:p w14:paraId="2ED4E17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12</w:t>
            </w:r>
          </w:p>
        </w:tc>
        <w:tc>
          <w:tcPr>
            <w:tcW w:w="1701" w:type="dxa"/>
          </w:tcPr>
          <w:p w14:paraId="3B60FD1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73</w:t>
            </w:r>
          </w:p>
        </w:tc>
        <w:tc>
          <w:tcPr>
            <w:tcW w:w="1701" w:type="dxa"/>
          </w:tcPr>
          <w:p w14:paraId="0711E10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5</w:t>
            </w:r>
          </w:p>
        </w:tc>
        <w:tc>
          <w:tcPr>
            <w:tcW w:w="1701" w:type="dxa"/>
          </w:tcPr>
          <w:p w14:paraId="4C38502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0</w:t>
            </w:r>
          </w:p>
        </w:tc>
      </w:tr>
      <w:tr w14:paraId="4C9A8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3DF1FD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Audit-LLM</w:t>
            </w:r>
          </w:p>
        </w:tc>
        <w:tc>
          <w:tcPr>
            <w:tcW w:w="1701" w:type="dxa"/>
          </w:tcPr>
          <w:p w14:paraId="7093C90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20</w:t>
            </w:r>
          </w:p>
        </w:tc>
        <w:tc>
          <w:tcPr>
            <w:tcW w:w="1701" w:type="dxa"/>
          </w:tcPr>
          <w:p w14:paraId="24FC012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176</w:t>
            </w:r>
          </w:p>
        </w:tc>
        <w:tc>
          <w:tcPr>
            <w:tcW w:w="1701" w:type="dxa"/>
          </w:tcPr>
          <w:p w14:paraId="52C0C57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3</w:t>
            </w:r>
          </w:p>
        </w:tc>
        <w:tc>
          <w:tcPr>
            <w:tcW w:w="1701" w:type="dxa"/>
          </w:tcPr>
          <w:p w14:paraId="363A4F5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0</w:t>
            </w:r>
          </w:p>
        </w:tc>
      </w:tr>
      <w:tr w14:paraId="3443A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11AA6D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守卫 / 安全</w:t>
            </w:r>
          </w:p>
        </w:tc>
        <w:tc>
          <w:tcPr>
            <w:tcW w:w="1701" w:type="dxa"/>
          </w:tcPr>
          <w:p w14:paraId="6E68DEF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13</w:t>
            </w:r>
          </w:p>
        </w:tc>
        <w:tc>
          <w:tcPr>
            <w:tcW w:w="1701" w:type="dxa"/>
          </w:tcPr>
          <w:p w14:paraId="781A2FB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111</w:t>
            </w:r>
          </w:p>
        </w:tc>
        <w:tc>
          <w:tcPr>
            <w:tcW w:w="1701" w:type="dxa"/>
          </w:tcPr>
          <w:p w14:paraId="597D536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0</w:t>
            </w:r>
          </w:p>
        </w:tc>
        <w:tc>
          <w:tcPr>
            <w:tcW w:w="1701" w:type="dxa"/>
          </w:tcPr>
          <w:p w14:paraId="1731856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0</w:t>
            </w:r>
          </w:p>
        </w:tc>
      </w:tr>
      <w:tr w14:paraId="7FC44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370247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响应 / 遏制</w:t>
            </w:r>
          </w:p>
        </w:tc>
        <w:tc>
          <w:tcPr>
            <w:tcW w:w="1701" w:type="dxa"/>
          </w:tcPr>
          <w:p w14:paraId="17803DF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13</w:t>
            </w:r>
          </w:p>
        </w:tc>
        <w:tc>
          <w:tcPr>
            <w:tcW w:w="1701" w:type="dxa"/>
          </w:tcPr>
          <w:p w14:paraId="0DD76FF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154</w:t>
            </w:r>
          </w:p>
        </w:tc>
        <w:tc>
          <w:tcPr>
            <w:tcW w:w="1701" w:type="dxa"/>
          </w:tcPr>
          <w:p w14:paraId="281F0CD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3</w:t>
            </w:r>
          </w:p>
        </w:tc>
        <w:tc>
          <w:tcPr>
            <w:tcW w:w="1701" w:type="dxa"/>
          </w:tcPr>
          <w:p w14:paraId="507E203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0</w:t>
            </w:r>
          </w:p>
        </w:tc>
      </w:tr>
      <w:tr w14:paraId="2968C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9DE188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RAG / 向量</w:t>
            </w:r>
          </w:p>
        </w:tc>
        <w:tc>
          <w:tcPr>
            <w:tcW w:w="1701" w:type="dxa"/>
          </w:tcPr>
          <w:p w14:paraId="631D79F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4</w:t>
            </w:r>
          </w:p>
        </w:tc>
        <w:tc>
          <w:tcPr>
            <w:tcW w:w="1701" w:type="dxa"/>
          </w:tcPr>
          <w:p w14:paraId="0DEDAB0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25</w:t>
            </w:r>
          </w:p>
        </w:tc>
        <w:tc>
          <w:tcPr>
            <w:tcW w:w="1701" w:type="dxa"/>
          </w:tcPr>
          <w:p w14:paraId="6BB6600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0</w:t>
            </w:r>
          </w:p>
        </w:tc>
        <w:tc>
          <w:tcPr>
            <w:tcW w:w="1701" w:type="dxa"/>
          </w:tcPr>
          <w:p w14:paraId="13E2F6A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3</w:t>
            </w:r>
          </w:p>
        </w:tc>
      </w:tr>
      <w:tr w14:paraId="7E91F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DBB102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可观测性</w:t>
            </w:r>
          </w:p>
        </w:tc>
        <w:tc>
          <w:tcPr>
            <w:tcW w:w="1701" w:type="dxa"/>
          </w:tcPr>
          <w:p w14:paraId="3F946C8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7</w:t>
            </w:r>
          </w:p>
        </w:tc>
        <w:tc>
          <w:tcPr>
            <w:tcW w:w="1701" w:type="dxa"/>
          </w:tcPr>
          <w:p w14:paraId="02CDB05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68</w:t>
            </w:r>
          </w:p>
        </w:tc>
        <w:tc>
          <w:tcPr>
            <w:tcW w:w="1701" w:type="dxa"/>
          </w:tcPr>
          <w:p w14:paraId="215CA99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0</w:t>
            </w:r>
          </w:p>
        </w:tc>
        <w:tc>
          <w:tcPr>
            <w:tcW w:w="1701" w:type="dxa"/>
          </w:tcPr>
          <w:p w14:paraId="6EB4233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0</w:t>
            </w:r>
          </w:p>
        </w:tc>
      </w:tr>
      <w:tr w14:paraId="7B3C3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31846A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自博弈</w:t>
            </w:r>
          </w:p>
        </w:tc>
        <w:tc>
          <w:tcPr>
            <w:tcW w:w="1701" w:type="dxa"/>
          </w:tcPr>
          <w:p w14:paraId="2486801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7</w:t>
            </w:r>
          </w:p>
        </w:tc>
        <w:tc>
          <w:tcPr>
            <w:tcW w:w="1701" w:type="dxa"/>
          </w:tcPr>
          <w:p w14:paraId="1C05C9A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95</w:t>
            </w:r>
          </w:p>
        </w:tc>
        <w:tc>
          <w:tcPr>
            <w:tcW w:w="1701" w:type="dxa"/>
          </w:tcPr>
          <w:p w14:paraId="554A878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0</w:t>
            </w:r>
          </w:p>
        </w:tc>
        <w:tc>
          <w:tcPr>
            <w:tcW w:w="1701" w:type="dxa"/>
          </w:tcPr>
          <w:p w14:paraId="43D5804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0</w:t>
            </w:r>
          </w:p>
        </w:tc>
      </w:tr>
      <w:tr w14:paraId="365C0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7CA6A6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外部能力</w:t>
            </w:r>
          </w:p>
        </w:tc>
        <w:tc>
          <w:tcPr>
            <w:tcW w:w="1701" w:type="dxa"/>
          </w:tcPr>
          <w:p w14:paraId="0026543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6</w:t>
            </w:r>
          </w:p>
        </w:tc>
        <w:tc>
          <w:tcPr>
            <w:tcW w:w="1701" w:type="dxa"/>
          </w:tcPr>
          <w:p w14:paraId="609ED3E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36</w:t>
            </w:r>
          </w:p>
        </w:tc>
        <w:tc>
          <w:tcPr>
            <w:tcW w:w="1701" w:type="dxa"/>
          </w:tcPr>
          <w:p w14:paraId="4DCC7F8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1</w:t>
            </w:r>
          </w:p>
        </w:tc>
        <w:tc>
          <w:tcPr>
            <w:tcW w:w="1701" w:type="dxa"/>
          </w:tcPr>
          <w:p w14:paraId="1B733A0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0</w:t>
            </w:r>
          </w:p>
        </w:tc>
      </w:tr>
      <w:tr w14:paraId="24136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3DB742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基础设施</w:t>
            </w:r>
          </w:p>
        </w:tc>
        <w:tc>
          <w:tcPr>
            <w:tcW w:w="1701" w:type="dxa"/>
          </w:tcPr>
          <w:p w14:paraId="45ECE15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4</w:t>
            </w:r>
          </w:p>
        </w:tc>
        <w:tc>
          <w:tcPr>
            <w:tcW w:w="1701" w:type="dxa"/>
          </w:tcPr>
          <w:p w14:paraId="48AFB66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15</w:t>
            </w:r>
          </w:p>
        </w:tc>
        <w:tc>
          <w:tcPr>
            <w:tcW w:w="1701" w:type="dxa"/>
          </w:tcPr>
          <w:p w14:paraId="0CDED1E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0</w:t>
            </w:r>
          </w:p>
        </w:tc>
        <w:tc>
          <w:tcPr>
            <w:tcW w:w="1701" w:type="dxa"/>
          </w:tcPr>
          <w:p w14:paraId="4156DC8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0</w:t>
            </w:r>
          </w:p>
        </w:tc>
      </w:tr>
      <w:tr w14:paraId="4977F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B22457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合计</w:t>
            </w:r>
          </w:p>
        </w:tc>
        <w:tc>
          <w:tcPr>
            <w:tcW w:w="1701" w:type="dxa"/>
          </w:tcPr>
          <w:p w14:paraId="0D7AB24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97</w:t>
            </w:r>
          </w:p>
        </w:tc>
        <w:tc>
          <w:tcPr>
            <w:tcW w:w="1701" w:type="dxa"/>
          </w:tcPr>
          <w:p w14:paraId="540F8A8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850</w:t>
            </w:r>
          </w:p>
        </w:tc>
        <w:tc>
          <w:tcPr>
            <w:tcW w:w="1701" w:type="dxa"/>
          </w:tcPr>
          <w:p w14:paraId="44F5C62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14</w:t>
            </w:r>
          </w:p>
        </w:tc>
        <w:tc>
          <w:tcPr>
            <w:tcW w:w="1701" w:type="dxa"/>
          </w:tcPr>
          <w:p w14:paraId="7D15D96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3</w:t>
            </w:r>
          </w:p>
        </w:tc>
      </w:tr>
    </w:tbl>
    <w:p w14:paraId="6831A133"/>
    <w:p w14:paraId="5AE04E1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守卫、自博弈、可观测性三个高风险桶全绿，是本次最有说服力的回归信号。</w:t>
      </w:r>
    </w:p>
    <w:p w14:paraId="536E01FD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5.3 失败归因说明（诚实披露）</w:t>
      </w:r>
    </w:p>
    <w:p w14:paraId="2B83F17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环境依赖（10）：仓库根 `.env` 将容器路径 `RESPONSE_POLICIES_DIR=/data/...` 等注入本机 pytest，本机无 `/data`，威胁分类索引为空、策略回退代码种子。对照实验用仓库内 taxonomy 可加载 18 个叶子，被测逻辑本身成立。</w:t>
      </w:r>
    </w:p>
    <w:p w14:paraId="3337D7D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隔离 / 契约（3）：案例生命周期对策略字段形状断言不一致；两例全量顺序失败、单独通过（事件循环 / 全局计数器污染）。</w:t>
      </w:r>
    </w:p>
    <w:p w14:paraId="141A15C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真实代码（1）：`agents/audit_single.py` 内联硬编码 system prompt，违反「提示词走 templates」约束。</w:t>
      </w:r>
    </w:p>
    <w:p w14:paraId="4AC541E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跳过 3 条为 Qdrant 已配置环境下的「未配置降级」路径，不代表检索主路径失败。</w:t>
      </w:r>
    </w:p>
    <w:p w14:paraId="087B6E79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5.4 设计场景与 Agent 守卫覆盖</w:t>
      </w:r>
    </w:p>
    <w:p w14:paraId="5CD2273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对照设计文档表 13-2：非法 JSON、错误 API Key、重复事件、高危事件、CEP 攻击链、幻觉工具、越权调用、证据不足、响应回滚等主路径均有自动化证据。对照 13.3：Stabilizer / MCP Guard / 审批 / SafeExecutor / 限流 / 序列 / Grounding·CAD 等单点闸门已覆盖（见图3）；</w:t>
      </w:r>
      <w:r>
        <w:rPr>
          <w:rFonts w:ascii="Times New Roman" w:hAnsi="Times New Roman" w:eastAsia="仿宋"/>
          <w:b/>
          <w:color w:val="000000"/>
          <w:sz w:val="24"/>
        </w:rPr>
        <w:t>「组合绕过」仍为缺口</w:t>
      </w:r>
      <w:r>
        <w:rPr>
          <w:rFonts w:ascii="Times New Roman" w:hAnsi="Times New Roman" w:eastAsia="仿宋"/>
          <w:b w:val="0"/>
          <w:color w:val="000000"/>
          <w:sz w:val="24"/>
        </w:rPr>
        <w:t>（合法工具+非法参数、合法单次+危险序列、提示词注入改参、RAG 投毒等尚未系统化成攻击组合套件）。</w:t>
      </w:r>
    </w:p>
    <w:p w14:paraId="1BC4C078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5.5 已知缺陷（测试报告表 11-1 摘要）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40E36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F1A9D95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编号</w:t>
            </w:r>
          </w:p>
        </w:tc>
        <w:tc>
          <w:tcPr>
            <w:tcW w:w="2835" w:type="dxa"/>
          </w:tcPr>
          <w:p w14:paraId="670EF691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等级</w:t>
            </w:r>
          </w:p>
        </w:tc>
        <w:tc>
          <w:tcPr>
            <w:tcW w:w="2835" w:type="dxa"/>
          </w:tcPr>
          <w:p w14:paraId="5B68543E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描述</w:t>
            </w:r>
          </w:p>
        </w:tc>
      </w:tr>
      <w:tr w14:paraId="1238B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62C294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DEF-01</w:t>
            </w:r>
          </w:p>
        </w:tc>
        <w:tc>
          <w:tcPr>
            <w:tcW w:w="2835" w:type="dxa"/>
          </w:tcPr>
          <w:p w14:paraId="38432C8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中</w:t>
            </w:r>
          </w:p>
        </w:tc>
        <w:tc>
          <w:tcPr>
            <w:tcW w:w="2835" w:type="dxa"/>
          </w:tcPr>
          <w:p w14:paraId="429D45F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`GET /api/ops/competition-metrics` 登录后 500，约 14 秒超时；`/api/ops/kpi` 仍为 200</w:t>
            </w:r>
          </w:p>
        </w:tc>
      </w:tr>
      <w:tr w14:paraId="5DDBA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5F3CB6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DEF-02</w:t>
            </w:r>
          </w:p>
        </w:tc>
        <w:tc>
          <w:tcPr>
            <w:tcW w:w="2835" w:type="dxa"/>
          </w:tcPr>
          <w:p w14:paraId="11F4423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中</w:t>
            </w:r>
          </w:p>
        </w:tc>
        <w:tc>
          <w:tcPr>
            <w:tcW w:w="2835" w:type="dxa"/>
          </w:tcPr>
          <w:p w14:paraId="0418661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`audit_single.py` 内联 system prompt（真实代码）</w:t>
            </w:r>
          </w:p>
        </w:tc>
      </w:tr>
      <w:tr w14:paraId="63B23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FCF740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DEF-03～06</w:t>
            </w:r>
          </w:p>
        </w:tc>
        <w:tc>
          <w:tcPr>
            <w:tcW w:w="2835" w:type="dxa"/>
          </w:tcPr>
          <w:p w14:paraId="2AF09BD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低</w:t>
            </w:r>
          </w:p>
        </w:tc>
        <w:tc>
          <w:tcPr>
            <w:tcW w:w="2835" w:type="dxa"/>
          </w:tcPr>
          <w:p w14:paraId="7D68CEF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策略字段契约、sqlite 方言锁、`.env` 路径污染、顺序隔离</w:t>
            </w:r>
          </w:p>
        </w:tc>
      </w:tr>
      <w:tr w14:paraId="3FEA5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28DF5F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DEF-07</w:t>
            </w:r>
          </w:p>
        </w:tc>
        <w:tc>
          <w:tcPr>
            <w:tcW w:w="2835" w:type="dxa"/>
          </w:tcPr>
          <w:p w14:paraId="17F3BAA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信息</w:t>
            </w:r>
          </w:p>
        </w:tc>
        <w:tc>
          <w:tcPr>
            <w:tcW w:w="2835" w:type="dxa"/>
          </w:tcPr>
          <w:p w14:paraId="176218B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Kafka UI 绑定 `0.0.0.0:18082`（部署面建议收紧）</w:t>
            </w:r>
          </w:p>
        </w:tc>
      </w:tr>
    </w:tbl>
    <w:p w14:paraId="001EF54E"/>
    <w:p w14:paraId="73D3370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未做事项（避免误读）：未对 Kafka UI/Grafana 做口令强度测试；未在界面实际开自博弈局；</w:t>
      </w:r>
      <w:r>
        <w:rPr>
          <w:rFonts w:ascii="Times New Roman" w:hAnsi="Times New Roman" w:eastAsia="仿宋"/>
          <w:b/>
          <w:color w:val="000000"/>
          <w:sz w:val="24"/>
        </w:rPr>
        <w:t>未向真实 iptables 下发封禁</w:t>
      </w:r>
      <w:r>
        <w:rPr>
          <w:rFonts w:ascii="Times New Roman" w:hAnsi="Times New Roman" w:eastAsia="仿宋"/>
          <w:b w:val="0"/>
          <w:color w:val="000000"/>
          <w:sz w:val="24"/>
        </w:rPr>
        <w:t>；未采集 Flink 吞吐与 Checkpoint 成功率时序（仅在 9250 文本见瞬时 failedCheckpoints=0）。性能仅记录探活时延基线，</w:t>
      </w:r>
      <w:r>
        <w:rPr>
          <w:rFonts w:ascii="Times New Roman" w:hAnsi="Times New Roman" w:eastAsia="仿宋"/>
          <w:b/>
          <w:color w:val="000000"/>
          <w:sz w:val="24"/>
        </w:rPr>
        <w:t>不虚构吞吐、P95、误报率</w:t>
      </w:r>
      <w:r>
        <w:rPr>
          <w:rFonts w:ascii="Times New Roman" w:hAnsi="Times New Roman" w:eastAsia="仿宋"/>
          <w:b w:val="0"/>
          <w:color w:val="000000"/>
          <w:sz w:val="24"/>
        </w:rPr>
        <w:t>。</w:t>
      </w:r>
    </w:p>
    <w:p w14:paraId="7FFAC55B">
      <w:pPr>
        <w:spacing w:before="280" w:after="160" w:line="360" w:lineRule="auto"/>
        <w:outlineLvl w:val="0"/>
      </w:pPr>
      <w:bookmarkStart w:id="6" w:name="_Toc19692"/>
      <w:r>
        <w:rPr>
          <w:rFonts w:ascii="Times New Roman" w:hAnsi="Times New Roman" w:eastAsia="楷体"/>
          <w:b/>
          <w:color w:val="000000"/>
          <w:sz w:val="30"/>
        </w:rPr>
        <w:t>6. 创新点与工程亮点（有证据）</w:t>
      </w:r>
      <w:bookmarkEnd w:id="6"/>
    </w:p>
    <w:p w14:paraId="5E727916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流式确定性底座与 Agent 研判解耦：Flink 唯一事实源 + Python 薄消费者，避免「LLM 直吞原始日志」与双端重复计分。</w:t>
      </w:r>
    </w:p>
    <w:p w14:paraId="53520924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四层 Audit-LLM + CAD 独立监督：研判产物可分层校验；CAD 反查库表而非采信汇报；熔断可降级到规则路径。</w:t>
      </w:r>
    </w:p>
    <w:p w14:paraId="39170D12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多层工具调用可信控制：Stabilizer → MCP Guard 四闸 → 行为签名 → SecurityGuard → SafeExecutor，测试守卫桶 111/111 通过。</w:t>
      </w:r>
    </w:p>
    <w:p w14:paraId="09D3AED8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受控真实响应：策略/审批/双白名单/TTL/rollback_token；测试明确不把「未真实封禁生产」写成已验证生产封禁能力。</w:t>
      </w:r>
    </w:p>
    <w:p w14:paraId="74D433B7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5. Hybrid RAG + 审批态防投毒：运行时知识库规模（2186 / 6031）与断言验证入口可演示。</w:t>
      </w:r>
    </w:p>
    <w:p w14:paraId="34CDD26B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6. Self-Play 受控演进：仿真漏报→候选规则→多门审核→影子期；95 例自动化全绿，且默认不污染生产 ingest。</w:t>
      </w:r>
    </w:p>
    <w:p w14:paraId="392FDFCA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7. 全链路可观测与诚实测试文化：`trace_id` 贯穿；Jaeger UI 可达；测试报告主动分类失败并披露组合绕过缺口，避免「98% 全绿幻觉」。</w:t>
      </w:r>
    </w:p>
    <w:p w14:paraId="14EB0701">
      <w:pPr>
        <w:spacing w:before="280" w:after="160" w:line="360" w:lineRule="auto"/>
        <w:outlineLvl w:val="0"/>
      </w:pPr>
      <w:bookmarkStart w:id="7" w:name="_Toc31020"/>
      <w:r>
        <w:rPr>
          <w:rFonts w:ascii="Times New Roman" w:hAnsi="Times New Roman" w:eastAsia="楷体"/>
          <w:b/>
          <w:color w:val="000000"/>
          <w:sz w:val="30"/>
        </w:rPr>
        <w:t>7. 风险与局限</w:t>
      </w:r>
      <w:bookmarkEnd w:id="7"/>
    </w:p>
    <w:p w14:paraId="374904E4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自动化失败项仍在：14 例已定位，答辩前建议优先处理 `.env` 污染、`competition-metrics` 500、内联提示词迁移。</w:t>
      </w:r>
    </w:p>
    <w:p w14:paraId="4C095116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Agent 组合攻击未穷尽：单点闸门可用 ≠ 组合绕过已关闭。</w:t>
      </w:r>
    </w:p>
    <w:p w14:paraId="3ACA2A8A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高级能力默认关闭：NDR/EDR/沙箱/情报依赖外部系统；演示需说明「可对接」。</w:t>
      </w:r>
    </w:p>
    <w:p w14:paraId="3B22B7B0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安全审计历史发现：2026-09-01 白盒审计曾列出多项 CRITICAL/HIGH（如模拟端点滥用面、策略未知 severity、SSH 信任边界等）。README 记载后续完成了端口收敛、SASL_SSL、限流与管理面鉴权等加固；本总结不以「审计条目已全部关闭」作断言，参赛演示仍应坚持审批、dry-run/软执行与双白名单边界。</w:t>
      </w:r>
    </w:p>
    <w:p w14:paraId="24C61183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5. 性能与误报率：无统一生产流量实测值；不得用探活毫秒数外推吞吐或检出率。</w:t>
      </w:r>
    </w:p>
    <w:p w14:paraId="5A3CC75D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6. 管理面暴露：Kafka UI 全网卡绑定需在演示环境收紧；Flink 应继续仅经 3002 Basic Auth。</w:t>
      </w:r>
    </w:p>
    <w:p w14:paraId="79851D02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7. 边界诚实声明（学习手册）：内置模拟器为合成数据；异常评分为规则/统计式而非深度学习训练；不替代专业 SIEM 超大规模检索。</w:t>
      </w:r>
    </w:p>
    <w:p w14:paraId="543FADAA">
      <w:pPr>
        <w:spacing w:before="280" w:after="160" w:line="360" w:lineRule="auto"/>
        <w:outlineLvl w:val="0"/>
      </w:pPr>
      <w:bookmarkStart w:id="8" w:name="_Toc2597"/>
      <w:r>
        <w:rPr>
          <w:rFonts w:ascii="Times New Roman" w:hAnsi="Times New Roman" w:eastAsia="楷体"/>
          <w:b/>
          <w:color w:val="000000"/>
          <w:sz w:val="30"/>
        </w:rPr>
        <w:t>8. 结论与参赛可用性判定</w:t>
      </w:r>
      <w:bookmarkEnd w:id="8"/>
    </w:p>
    <w:p w14:paraId="7CA6C2F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守望平台在 2026-09-09 全方位测试中表现出完整工程闭环：22 容器在线；后端 867 例中 850 例通过（98.0%），守卫 / 自博弈 / 可观测性高风险桶全绿；控制面匿名 401、登录后可返回真实事件库存与 169 个运营案例；前端 16 路由可演示；OpenAPI 207 操作可盘点。对照设计文档第十三章，主路径已有自动化落地；性能采集与 Agent 组合绕过仍为明确缺口。</w:t>
      </w:r>
    </w:p>
    <w:p w14:paraId="75DC9D1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总体判定：达到参赛演示与回归测试要求，可提交揭榜挂帅赛题 XH-202614 演示材料。</w:t>
      </w:r>
    </w:p>
    <w:p w14:paraId="41B4050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建议在答辩中主动展示失败分类与未覆盖项，而不是仅报告 98% 通过率——这与测试报告编制说明及 QA「PASS_WITH_FINDINGS」结论一致。</w:t>
      </w:r>
    </w:p>
    <w:p w14:paraId="1BE4F9EC">
      <w:pPr>
        <w:spacing w:before="280" w:after="160" w:line="360" w:lineRule="auto"/>
        <w:outlineLvl w:val="0"/>
      </w:pPr>
      <w:bookmarkStart w:id="9" w:name="_Toc26237"/>
      <w:r>
        <w:rPr>
          <w:rFonts w:ascii="Times New Roman" w:hAnsi="Times New Roman" w:eastAsia="楷体"/>
          <w:b/>
          <w:color w:val="000000"/>
          <w:sz w:val="30"/>
        </w:rPr>
        <w:t>附图占位索引</w:t>
      </w:r>
      <w:bookmarkEnd w:id="9"/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54105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43C5DD2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图号</w:t>
            </w:r>
          </w:p>
        </w:tc>
        <w:tc>
          <w:tcPr>
            <w:tcW w:w="2835" w:type="dxa"/>
          </w:tcPr>
          <w:p w14:paraId="7314E19F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内容</w:t>
            </w:r>
          </w:p>
        </w:tc>
        <w:tc>
          <w:tcPr>
            <w:tcW w:w="2835" w:type="dxa"/>
          </w:tcPr>
          <w:p w14:paraId="6BD9454C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文件</w:t>
            </w:r>
          </w:p>
        </w:tc>
      </w:tr>
      <w:tr w14:paraId="058BC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0555D6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图1</w:t>
            </w:r>
          </w:p>
        </w:tc>
        <w:tc>
          <w:tcPr>
            <w:tcW w:w="2835" w:type="dxa"/>
          </w:tcPr>
          <w:p w14:paraId="1881319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架构总览（含 Audit-LLM / RAG / Self-Play 旁注）</w:t>
            </w:r>
          </w:p>
        </w:tc>
        <w:tc>
          <w:tcPr>
            <w:tcW w:w="2835" w:type="dxa"/>
          </w:tcPr>
          <w:p w14:paraId="2802B27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`figures/fig-arch-overview.png`</w:t>
            </w:r>
          </w:p>
        </w:tc>
      </w:tr>
      <w:tr w14:paraId="18775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842A85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图2</w:t>
            </w:r>
          </w:p>
        </w:tc>
        <w:tc>
          <w:tcPr>
            <w:tcW w:w="2835" w:type="dxa"/>
          </w:tcPr>
          <w:p w14:paraId="1C7ABBE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数据流与事件生命周期</w:t>
            </w:r>
          </w:p>
        </w:tc>
        <w:tc>
          <w:tcPr>
            <w:tcW w:w="2835" w:type="dxa"/>
          </w:tcPr>
          <w:p w14:paraId="1EA110B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`figures/fig-data-lifecycle.png`</w:t>
            </w:r>
          </w:p>
        </w:tc>
      </w:tr>
      <w:tr w14:paraId="40B98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B1552E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图3</w:t>
            </w:r>
          </w:p>
        </w:tc>
        <w:tc>
          <w:tcPr>
            <w:tcW w:w="2835" w:type="dxa"/>
          </w:tcPr>
          <w:p w14:paraId="2C8ADA0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Agent 守卫分层</w:t>
            </w:r>
          </w:p>
        </w:tc>
        <w:tc>
          <w:tcPr>
            <w:tcW w:w="2835" w:type="dxa"/>
          </w:tcPr>
          <w:p w14:paraId="1D38BB3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`figures/fig-guard-layers.png`</w:t>
            </w:r>
          </w:p>
        </w:tc>
      </w:tr>
      <w:tr w14:paraId="0B1F0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A8D018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图4</w:t>
            </w:r>
          </w:p>
        </w:tc>
        <w:tc>
          <w:tcPr>
            <w:tcW w:w="2835" w:type="dxa"/>
          </w:tcPr>
          <w:p w14:paraId="1699B21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测试沿事件生命周期分层</w:t>
            </w:r>
          </w:p>
        </w:tc>
        <w:tc>
          <w:tcPr>
            <w:tcW w:w="2835" w:type="dxa"/>
          </w:tcPr>
          <w:p w14:paraId="455A76D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`figures/fig-test-layers.png`</w:t>
            </w:r>
          </w:p>
        </w:tc>
      </w:tr>
      <w:tr w14:paraId="73269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12151C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图5</w:t>
            </w:r>
          </w:p>
        </w:tc>
        <w:tc>
          <w:tcPr>
            <w:tcW w:w="2835" w:type="dxa"/>
          </w:tcPr>
          <w:p w14:paraId="7E68250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Audit-LLM 四层研判与 CAD/Grounding</w:t>
            </w:r>
          </w:p>
        </w:tc>
        <w:tc>
          <w:tcPr>
            <w:tcW w:w="2835" w:type="dxa"/>
          </w:tcPr>
          <w:p w14:paraId="425527D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`figures/fig-audit-pipeline.png`</w:t>
            </w:r>
          </w:p>
        </w:tc>
      </w:tr>
      <w:tr w14:paraId="6BC4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6185A0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图6</w:t>
            </w:r>
          </w:p>
        </w:tc>
        <w:tc>
          <w:tcPr>
            <w:tcW w:w="2835" w:type="dxa"/>
          </w:tcPr>
          <w:p w14:paraId="53E1E4E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Hybrid RAG 检索与审批防投毒</w:t>
            </w:r>
          </w:p>
        </w:tc>
        <w:tc>
          <w:tcPr>
            <w:tcW w:w="2835" w:type="dxa"/>
          </w:tcPr>
          <w:p w14:paraId="596813F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`figures/fig-rag-pipeline.png`</w:t>
            </w:r>
          </w:p>
        </w:tc>
      </w:tr>
      <w:tr w14:paraId="27B80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1C0D92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图7</w:t>
            </w:r>
          </w:p>
        </w:tc>
        <w:tc>
          <w:tcPr>
            <w:tcW w:w="2835" w:type="dxa"/>
          </w:tcPr>
          <w:p w14:paraId="16CAB13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Self-Play 红蓝闭环与规则提升</w:t>
            </w:r>
          </w:p>
        </w:tc>
        <w:tc>
          <w:tcPr>
            <w:tcW w:w="2835" w:type="dxa"/>
          </w:tcPr>
          <w:p w14:paraId="4FBABC0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`figures/fig-selfplay-loop.png`</w:t>
            </w:r>
          </w:p>
        </w:tc>
      </w:tr>
    </w:tbl>
    <w:p w14:paraId="2826D1F0"/>
    <w:p w14:paraId="02C26D4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规格说明见 图示需求.md。图5–图7 由父流程按需再生；正文 §3.3 / §3.7 / §3.8 已引用。</w:t>
      </w:r>
    </w:p>
    <w:p w14:paraId="7BFD88A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—— 报告结束 ——</w:t>
      </w:r>
    </w:p>
    <w:sectPr>
      <w:pgSz w:w="11906" w:h="16838"/>
      <w:pgMar w:top="3118" w:right="1701" w:bottom="198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80FC2">
    <w:pPr>
      <w:pStyle w:val="24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67B2A1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67B2A1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3D4C6F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F73928"/>
    <w:rsid w:val="0B220707"/>
    <w:rsid w:val="22544C67"/>
    <w:rsid w:val="4E8F13F8"/>
    <w:rsid w:val="5B0B62AA"/>
    <w:rsid w:val="5FAB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qFormat="1"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toc 4"/>
    <w:basedOn w:val="1"/>
    <w:next w:val="1"/>
    <w:semiHidden/>
    <w:unhideWhenUsed/>
    <w:qFormat/>
    <w:uiPriority w:val="39"/>
    <w:pPr>
      <w:ind w:left="1260" w:leftChars="600"/>
    </w:pPr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5"/>
    <w:uiPriority w:val="99"/>
  </w:style>
  <w:style w:type="character" w:customStyle="1" w:styleId="139">
    <w:name w:val="Footer Char"/>
    <w:basedOn w:val="135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4719</Words>
  <Characters>8538</Characters>
  <Lines>0</Lines>
  <Paragraphs>0</Paragraphs>
  <TotalTime>2</TotalTime>
  <ScaleCrop>false</ScaleCrop>
  <LinksUpToDate>false</LinksUpToDate>
  <CharactersWithSpaces>9358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拾光者</cp:lastModifiedBy>
  <dcterms:modified xsi:type="dcterms:W3CDTF">2026-09-10T05:57:50Z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eyJoZGlkIjoiYzMzNmIxN2ViNmJhZjcxNjMzMjcyNmMwNDY2ZjFmMjEiLCJ1c2VySWQiOiI2MzYyOTg3MjIifQ==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D61C2F39111B4AEEA7EAA012D4B19436_12</vt:lpwstr>
  </property>
</Properties>
</file>