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B8E2D">
      <w:pPr>
        <w:spacing w:before="0" w:after="0" w:line="240" w:lineRule="auto"/>
      </w:pPr>
    </w:p>
    <w:p w14:paraId="2C13DF6D">
      <w:pPr>
        <w:spacing w:before="0" w:after="0" w:line="240" w:lineRule="auto"/>
      </w:pPr>
    </w:p>
    <w:p w14:paraId="65523798">
      <w:pPr>
        <w:spacing w:before="0" w:after="0" w:line="240" w:lineRule="auto"/>
      </w:pPr>
    </w:p>
    <w:p w14:paraId="7373AC3F">
      <w:pPr>
        <w:spacing w:before="0" w:after="0" w:line="240" w:lineRule="auto"/>
      </w:pPr>
    </w:p>
    <w:p w14:paraId="61F686CE">
      <w:pPr>
        <w:spacing w:before="0" w:after="0" w:line="240" w:lineRule="auto"/>
      </w:pPr>
    </w:p>
    <w:p w14:paraId="5CF8A952">
      <w:pPr>
        <w:spacing w:before="320" w:after="320" w:line="24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132"/>
        </w:rPr>
        <w:t>测</w:t>
      </w:r>
    </w:p>
    <w:p w14:paraId="58E2D59A">
      <w:pPr>
        <w:spacing w:before="320" w:after="320" w:line="24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132"/>
        </w:rPr>
        <w:t>试</w:t>
      </w:r>
    </w:p>
    <w:p w14:paraId="42FE47CB">
      <w:pPr>
        <w:spacing w:before="320" w:after="320" w:line="24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132"/>
        </w:rPr>
        <w:t>报</w:t>
      </w:r>
    </w:p>
    <w:p w14:paraId="6C3268E8">
      <w:pPr>
        <w:spacing w:before="320" w:after="320" w:line="24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132"/>
        </w:rPr>
        <w:t>告</w:t>
      </w:r>
    </w:p>
    <w:p w14:paraId="10ED4330">
      <w:pPr>
        <w:spacing w:before="0" w:after="0" w:line="240" w:lineRule="auto"/>
      </w:pPr>
    </w:p>
    <w:p w14:paraId="6F30EB5D">
      <w:pPr>
        <w:spacing w:before="0" w:after="0" w:line="240" w:lineRule="auto"/>
      </w:pPr>
    </w:p>
    <w:p w14:paraId="13FE51FD">
      <w:pPr>
        <w:spacing w:before="0" w:after="0" w:line="240" w:lineRule="auto"/>
      </w:pPr>
    </w:p>
    <w:p w14:paraId="0169D35E">
      <w:pPr>
        <w:spacing w:before="0" w:after="0" w:line="240" w:lineRule="auto"/>
      </w:pPr>
    </w:p>
    <w:p w14:paraId="66C9C748">
      <w:pPr>
        <w:spacing w:before="0" w:after="0" w:line="240" w:lineRule="auto"/>
      </w:pPr>
    </w:p>
    <w:p w14:paraId="62813C00">
      <w:pPr>
        <w:spacing w:before="0" w:after="0" w:line="240" w:lineRule="auto"/>
      </w:pPr>
    </w:p>
    <w:p w14:paraId="763C1B0E">
      <w:pPr>
        <w:spacing w:before="0" w:after="0" w:line="240" w:lineRule="auto"/>
      </w:pPr>
    </w:p>
    <w:p w14:paraId="4F719E2E">
      <w:pPr>
        <w:spacing w:before="0" w:after="0" w:line="240" w:lineRule="auto"/>
      </w:pPr>
    </w:p>
    <w:p w14:paraId="3BE07D12">
      <w:pPr>
        <w:spacing w:before="0" w:after="0" w:line="240" w:lineRule="auto"/>
      </w:pPr>
    </w:p>
    <w:p w14:paraId="2587017E">
      <w:pPr>
        <w:spacing w:before="0" w:after="0" w:line="240" w:lineRule="auto"/>
      </w:pPr>
    </w:p>
    <w:p w14:paraId="25ADA6A0">
      <w:pPr>
        <w:spacing w:before="0" w:after="0" w:line="240" w:lineRule="auto"/>
      </w:pPr>
    </w:p>
    <w:p w14:paraId="18A93F8A">
      <w:pPr>
        <w:jc w:val="center"/>
      </w:pPr>
      <w:r>
        <w:rPr>
          <w:rFonts w:ascii="Times New Roman" w:hAnsi="Times New Roman" w:eastAsia="黑体" w:cs="Times New Roman"/>
          <w:b w:val="0"/>
          <w:color w:val="000000"/>
          <w:sz w:val="32"/>
        </w:rPr>
        <w:t>守望——基于多智能体编排的安全运营平台</w:t>
      </w:r>
    </w:p>
    <w:p w14:paraId="4BFE48E0">
      <w:pPr>
        <w:spacing w:before="0" w:after="0"/>
      </w:pPr>
      <w:r>
        <w:br w:type="page"/>
      </w:r>
    </w:p>
    <w:p w14:paraId="3C6D6549">
      <w:pPr>
        <w:spacing w:before="720" w:after="480" w:line="360" w:lineRule="auto"/>
        <w:jc w:val="center"/>
        <w:outlineLvl w:val="0"/>
      </w:pPr>
      <w:bookmarkStart w:id="0" w:name="_Toc23478"/>
      <w:r>
        <w:rPr>
          <w:rFonts w:ascii="Times New Roman" w:hAnsi="Times New Roman" w:eastAsia="黑体" w:cs="Times New Roman"/>
          <w:b/>
          <w:color w:val="000000"/>
          <w:sz w:val="44"/>
        </w:rPr>
        <w:t>摘  要</w:t>
      </w:r>
      <w:bookmarkEnd w:id="0"/>
    </w:p>
    <w:p w14:paraId="1521B929">
      <w:pPr>
        <w:spacing w:before="0" w:after="16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本报告记录守望（Night Watch SOC）——基于多智能体编排的安全运营平台在参赛节点的全方位实测结果。测试对照《设计文档》第十三章「系统测试与实验验证」组织，覆盖自动化回归、OpenAPI 契约盘点、运行时容器探活与前端人机界面实测。报告中的通过数、失败数、接口状态码与时延均来自 2026 年 9 月 9 日当次执行，不虚构吞吐、P95 或未采集的误报率指标。</w:t>
      </w:r>
    </w:p>
    <w:p w14:paraId="469564EA">
      <w:pPr>
        <w:spacing w:before="0" w:after="16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后端在 backend/ 目录执行全量 pytest：收集 867 例，通过 850 例（98.0%），失败 14 例，跳过 3 例，耗时 76.36 秒，覆盖 97 个测试文件。失败已逐条归因：环境依赖（仓库根 .env 容器路径污染本机进程）10 例、隔离/契约不一致 3 例、真实代码问题 1 例（agents/audit_single.py 内联硬编码 system prompt）。守卫/安全、自博弈、可观测性三个高风险桶全部通过。</w:t>
      </w:r>
    </w:p>
    <w:p w14:paraId="42B707FA">
      <w:pPr>
        <w:spacing w:before="0" w:after="16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运行时 Docker Compose 共 22 个容器全部 Running；Kafka、PostgreSQL、Redis、Qdrant、Temporal-PostgreSQL 健康检查为 healthy。OpenAPI 共 207 个操作（服务版本 2.0.0）；匿名探活符合鉴权设计（业务接口 401），登录后抽样 15 条中 14 条 200、1 条 500（/api/ops/competition-metrics）。前端 16 个路由均可渲染，TypeScript 检查 0 错误；登录后值班台事件量 262,677，运营中心活跃案例 169，知识库文档 2186 / 分块 6031。</w:t>
      </w:r>
    </w:p>
    <w:p w14:paraId="5D9F16B6">
      <w:pPr>
        <w:spacing w:before="0" w:after="16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独立 QA 复核结论为 PASS_WITH_FINDINGS：数字与 JUnit、探活 JSON 一致，遗留风险已披露，系统达到参赛演示与回归测试要求（demo-ready）。建议优先修复本机测试环境变量污染、竞赛指标接口超时与提示词模板迁移，并补强 Agent 组合绕过用例。</w:t>
      </w:r>
    </w:p>
    <w:p w14:paraId="67A99836">
      <w:pPr>
        <w:spacing w:before="0" w:after="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关键词：全方位测试；pytest 回归；OpenAPI 探活；Docker Compose；Agent 守卫；PASS_WITH_FINDINGS；守望平台</w:t>
      </w:r>
    </w:p>
    <w:p w14:paraId="277A4ED9">
      <w:pPr>
        <w:spacing w:before="0" w:after="0"/>
      </w:pPr>
      <w:r>
        <w:br w:type="page"/>
      </w:r>
    </w:p>
    <w:sdt>
      <w:sdtP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id w:val="147472504"/>
        <w15:color w:val="DBDBDB"/>
        <w:docPartObj>
          <w:docPartGallery w:val="Table of Contents"/>
          <w:docPartUnique/>
        </w:docPartObj>
      </w:sdtPr>
      <w:sdtContent>
        <w:p w14:paraId="7ADDDAF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6" w:name="_GoBack"/>
          <w:bookmarkEnd w:id="16"/>
          <w:r>
            <w:rPr>
              <w:rFonts w:ascii="宋体" w:hAnsi="宋体" w:eastAsia="宋体"/>
              <w:sz w:val="21"/>
            </w:rPr>
            <w:t>目录</w:t>
          </w:r>
        </w:p>
        <w:p w14:paraId="65D78554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_Toc23478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_Toc23478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7893EA2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_Toc8607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一、测试概述</w:t>
          </w:r>
          <w:r>
            <w:tab/>
          </w:r>
          <w:r>
            <w:fldChar w:fldCharType="begin"/>
          </w:r>
          <w:r>
            <w:instrText xml:space="preserve"> PAGEREF _Toc8607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752E22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_Toc16439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二、测试依据与范围</w:t>
          </w:r>
          <w:r>
            <w:tab/>
          </w:r>
          <w:r>
            <w:fldChar w:fldCharType="begin"/>
          </w:r>
          <w:r>
            <w:instrText xml:space="preserve"> PAGEREF _Toc16439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5EB784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_Toc11371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三、测试环境</w:t>
          </w:r>
          <w:r>
            <w:tab/>
          </w:r>
          <w:r>
            <w:fldChar w:fldCharType="begin"/>
          </w:r>
          <w:r>
            <w:instrText xml:space="preserve"> PAGEREF _Toc11371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BE756E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_Toc1292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四、测试策略与方法</w:t>
          </w:r>
          <w:r>
            <w:tab/>
          </w:r>
          <w:r>
            <w:fldChar w:fldCharType="begin"/>
          </w:r>
          <w:r>
            <w:instrText xml:space="preserve"> PAGEREF _Toc1292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D09FE1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_Toc992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五、自动化回归测试</w:t>
          </w:r>
          <w:r>
            <w:tab/>
          </w:r>
          <w:r>
            <w:fldChar w:fldCharType="begin"/>
          </w:r>
          <w:r>
            <w:instrText xml:space="preserve"> PAGEREF _Toc992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BCEB9D7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_Toc3051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六、接口与运行时探活</w:t>
          </w:r>
          <w:r>
            <w:tab/>
          </w:r>
          <w:r>
            <w:fldChar w:fldCharType="begin"/>
          </w:r>
          <w:r>
            <w:instrText xml:space="preserve"> PAGEREF _Toc3051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8C0964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_Toc18979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七、功能测试（对照设计文档表 13-2）</w:t>
          </w:r>
          <w:r>
            <w:tab/>
          </w:r>
          <w:r>
            <w:fldChar w:fldCharType="begin"/>
          </w:r>
          <w:r>
            <w:instrText xml:space="preserve"> PAGEREF _Toc18979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C1AA61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_Toc8355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八、Agent 安全与守卫测试</w:t>
          </w:r>
          <w:r>
            <w:tab/>
          </w:r>
          <w:r>
            <w:fldChar w:fldCharType="begin"/>
          </w:r>
          <w:r>
            <w:instrText xml:space="preserve"> PAGEREF _Toc8355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F05AF89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_Toc27925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九、前端与人机界面测试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09BA57F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_Toc19868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十、可观测性与部署验证</w:t>
          </w:r>
          <w:r>
            <w:tab/>
          </w:r>
          <w:r>
            <w:fldChar w:fldCharType="begin"/>
          </w:r>
          <w:r>
            <w:instrText xml:space="preserve"> PAGEREF _Toc19868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31B2483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_Toc31078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十一、缺陷与风险分析</w:t>
          </w:r>
          <w:r>
            <w:tab/>
          </w:r>
          <w:r>
            <w:fldChar w:fldCharType="begin"/>
          </w:r>
          <w:r>
            <w:instrText xml:space="preserve"> PAGEREF _Toc31078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91E9BA5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_Toc28953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十二、测试结论与建议</w:t>
          </w:r>
          <w:r>
            <w:tab/>
          </w:r>
          <w:r>
            <w:fldChar w:fldCharType="begin"/>
          </w:r>
          <w:r>
            <w:instrText xml:space="preserve"> PAGEREF _Toc28953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830764D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_Toc12087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附录 A 失败用例明细</w:t>
          </w:r>
          <w:r>
            <w:tab/>
          </w:r>
          <w:r>
            <w:fldChar w:fldCharType="begin"/>
          </w:r>
          <w:r>
            <w:instrText xml:space="preserve"> PAGEREF _Toc12087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184FDEA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_Toc487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</w:rPr>
            <w:t>附录 B 证据索引</w:t>
          </w:r>
          <w:r>
            <w:tab/>
          </w:r>
          <w:r>
            <w:fldChar w:fldCharType="begin"/>
          </w:r>
          <w:r>
            <w:instrText xml:space="preserve"> PAGEREF _Toc487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169EDFD">
          <w:pPr>
            <w:pStyle w:val="26"/>
            <w:tabs>
              <w:tab w:val="right" w:leader="dot" w:pos="8732"/>
            </w:tabs>
          </w:pPr>
          <w:r>
            <w:fldChar w:fldCharType="begin"/>
          </w:r>
          <w:r>
            <w:instrText xml:space="preserve"> HYPERLINK \l _Toc11434 </w:instrText>
          </w:r>
          <w:r>
            <w:fldChar w:fldCharType="separate"/>
          </w:r>
          <w:r>
            <w:rPr>
              <w:rFonts w:ascii="Times New Roman" w:hAnsi="Times New Roman" w:eastAsia="楷体" w:cs="Times New Roman"/>
            </w:rPr>
            <w:t>B.1 测试人员与工具</w:t>
          </w:r>
          <w:r>
            <w:tab/>
          </w:r>
          <w:r>
            <w:fldChar w:fldCharType="begin"/>
          </w:r>
          <w:r>
            <w:instrText xml:space="preserve"> PAGEREF _Toc11434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1B0B04A">
          <w:r>
            <w:fldChar w:fldCharType="end"/>
          </w:r>
        </w:p>
      </w:sdtContent>
    </w:sdt>
    <w:p w14:paraId="706A819E"/>
    <w:p w14:paraId="6222B68B">
      <w:pPr>
        <w:spacing w:before="0" w:after="0"/>
      </w:pPr>
      <w:r>
        <w:br w:type="page"/>
      </w:r>
    </w:p>
    <w:p w14:paraId="622B2752">
      <w:pPr>
        <w:spacing w:before="360" w:after="240" w:line="360" w:lineRule="auto"/>
        <w:ind w:firstLine="0" w:firstLineChars="0"/>
        <w:jc w:val="left"/>
        <w:outlineLvl w:val="0"/>
      </w:pPr>
      <w:bookmarkStart w:id="1" w:name="_Toc8607"/>
      <w:r>
        <w:rPr>
          <w:rFonts w:ascii="Times New Roman" w:hAnsi="Times New Roman" w:eastAsia="黑体" w:cs="Times New Roman"/>
          <w:b/>
          <w:color w:val="000000"/>
          <w:sz w:val="32"/>
        </w:rPr>
        <w:t>一、测试概述</w:t>
      </w:r>
      <w:bookmarkEnd w:id="1"/>
    </w:p>
    <w:p w14:paraId="7CDADD39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1.1 测试目的</w:t>
      </w:r>
    </w:p>
    <w:p w14:paraId="616BED3B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守望平台将安全运营拆为「实时感知—智能研判—受控行动—证据监督—反馈演进」五段。测试的目的不是证明“用例很多”，而是回答三个问题：确定性流水线是否按契约工作；Agent 工具调用是否在正确的一层被拦截；运行中的 Docker 全栈与前端值班台是否可演示、可追溯。</w:t>
      </w:r>
    </w:p>
    <w:p w14:paraId="74C51E25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设计文档第十三章明确要求：自动化回归证明代码行为稳定，场景测试证明面对非法输入、越权调用、证据不足等真实问题时系统能得到预期安全结果。本报告将二者分开陈述，避免用“通过数”替代效果指标。</w:t>
      </w:r>
    </w:p>
    <w:p w14:paraId="580C7A2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1.2 测试对象</w:t>
      </w:r>
    </w:p>
    <w:p w14:paraId="12AE36CB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测试对象为当前工作树上的守望平台，产品界面品牌为「守望 / SHOUWANG / Night Watch SOC」。后端 FastAPI 服务层版本号为 2.0.0，前端由 nginx 容器对外提供。流处理侧为 Kafka 3.7（KRaft）与 Flink 1.19.3 三个核心作业：LogValidationJob、AnomalyDetectionJob、SigmaThresholdAggregationJob。</w:t>
      </w:r>
    </w:p>
    <w:p w14:paraId="724011E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1.3 测试分层</w:t>
      </w:r>
    </w:p>
    <w:p w14:paraId="19238A23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2306955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3485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1-1 测试沿事件生命周期分层组织</w:t>
      </w:r>
    </w:p>
    <w:p w14:paraId="143A823F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如图 1-1 所示，测试项按事件走过的路径编排，而不是按源码目录罗列。采集与检测对应 Flink / Sigma / 接入网关；研判对应 Audit-LLM 四层与 CAD；守卫对应 MCP Guard、SecurityGuard、Grounding；处置对应响应引擎、审批、回滚与 Self-Play。</w:t>
      </w:r>
    </w:p>
    <w:p w14:paraId="22DC7E93">
      <w:pPr>
        <w:spacing w:before="360" w:after="240" w:line="360" w:lineRule="auto"/>
        <w:ind w:firstLine="0" w:firstLineChars="0"/>
        <w:jc w:val="left"/>
        <w:outlineLvl w:val="0"/>
      </w:pPr>
      <w:bookmarkStart w:id="2" w:name="_Toc16439"/>
      <w:r>
        <w:rPr>
          <w:rFonts w:ascii="Times New Roman" w:hAnsi="Times New Roman" w:eastAsia="黑体" w:cs="Times New Roman"/>
          <w:b/>
          <w:color w:val="000000"/>
          <w:sz w:val="32"/>
        </w:rPr>
        <w:t>二、测试依据与范围</w:t>
      </w:r>
      <w:bookmarkEnd w:id="2"/>
    </w:p>
    <w:p w14:paraId="016821F3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2.1 依据</w:t>
      </w:r>
    </w:p>
    <w:p w14:paraId="265FD9B1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主要依据为《守望——基于多智能体编排的安全运营平台》设计文档第十三章，以及仓库内 backend/tests 既有回归、OpenAPI 契约与前端 16 条路由。安全相关判定同时参考 MCP Guard 四闸、SecurityGuard 四维与响应双白名单的模块契约。</w:t>
      </w:r>
    </w:p>
    <w:p w14:paraId="5C27FA09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2.2 范围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3685"/>
      </w:tblGrid>
      <w:tr w14:paraId="5C4A6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</w:tcPr>
          <w:p w14:paraId="0557598A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范围</w:t>
            </w:r>
          </w:p>
        </w:tc>
        <w:tc>
          <w:tcPr>
            <w:tcW w:w="3685" w:type="dxa"/>
            <w:shd w:val="clear" w:color="auto" w:fill="D9E2F3"/>
          </w:tcPr>
          <w:p w14:paraId="4C95BF98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覆盖</w:t>
            </w:r>
          </w:p>
        </w:tc>
        <w:tc>
          <w:tcPr>
            <w:tcW w:w="3685" w:type="dxa"/>
            <w:shd w:val="clear" w:color="auto" w:fill="D9E2F3"/>
          </w:tcPr>
          <w:p w14:paraId="74F6314F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不在本次范围</w:t>
            </w:r>
          </w:p>
        </w:tc>
      </w:tr>
      <w:tr w14:paraId="657F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F8A1A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自动化</w:t>
            </w:r>
          </w:p>
        </w:tc>
        <w:tc>
          <w:tcPr>
            <w:tcW w:w="3685" w:type="dxa"/>
          </w:tcPr>
          <w:p w14:paraId="644F0F3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backend/tests 97 个文件、867 个用例</w:t>
            </w:r>
          </w:p>
        </w:tc>
        <w:tc>
          <w:tcPr>
            <w:tcW w:w="3685" w:type="dxa"/>
          </w:tcPr>
          <w:p w14:paraId="0F85FAE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不修改生产代码；不以本次测试为修复迭代</w:t>
            </w:r>
          </w:p>
        </w:tc>
      </w:tr>
      <w:tr w14:paraId="44B8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C51BD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接口</w:t>
            </w:r>
          </w:p>
        </w:tc>
        <w:tc>
          <w:tcPr>
            <w:tcW w:w="3685" w:type="dxa"/>
          </w:tcPr>
          <w:p w14:paraId="5DD3C29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OpenAPI 207 操作盘点 + 抽样探活</w:t>
            </w:r>
          </w:p>
        </w:tc>
        <w:tc>
          <w:tcPr>
            <w:tcW w:w="3685" w:type="dxa"/>
          </w:tcPr>
          <w:p w14:paraId="392E6E8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不对生产防火墙下发真实封禁</w:t>
            </w:r>
          </w:p>
        </w:tc>
      </w:tr>
      <w:tr w14:paraId="5243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8DB62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前端</w:t>
            </w:r>
          </w:p>
        </w:tc>
        <w:tc>
          <w:tcPr>
            <w:tcW w:w="3685" w:type="dxa"/>
          </w:tcPr>
          <w:p w14:paraId="545CB26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16 路由可达性、登录态数据页、tsc/oxlint</w:t>
            </w:r>
          </w:p>
        </w:tc>
        <w:tc>
          <w:tcPr>
            <w:tcW w:w="3685" w:type="dxa"/>
          </w:tcPr>
          <w:p w14:paraId="6D62194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不做跨浏览器兼容矩阵</w:t>
            </w:r>
          </w:p>
        </w:tc>
      </w:tr>
      <w:tr w14:paraId="0799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7E756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运行时</w:t>
            </w:r>
          </w:p>
        </w:tc>
        <w:tc>
          <w:tcPr>
            <w:tcW w:w="3685" w:type="dxa"/>
          </w:tcPr>
          <w:p w14:paraId="0088387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Compose 22 容器、/api/health、Jaeger、Flink 鉴权门</w:t>
            </w:r>
          </w:p>
        </w:tc>
        <w:tc>
          <w:tcPr>
            <w:tcW w:w="3685" w:type="dxa"/>
          </w:tcPr>
          <w:p w14:paraId="0B341F1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不登录 Grafana / Kafka UI（凭据未纳入本次）</w:t>
            </w:r>
          </w:p>
        </w:tc>
      </w:tr>
      <w:tr w14:paraId="0ED0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6D32D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性能</w:t>
            </w:r>
          </w:p>
        </w:tc>
        <w:tc>
          <w:tcPr>
            <w:tcW w:w="3685" w:type="dxa"/>
          </w:tcPr>
          <w:p w14:paraId="4FE21AC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记录探活时延作为基线</w:t>
            </w:r>
          </w:p>
        </w:tc>
        <w:tc>
          <w:tcPr>
            <w:tcW w:w="3685" w:type="dxa"/>
          </w:tcPr>
          <w:p w14:paraId="49B5BE9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不虚构吞吐、P95、误报率（与设计文档 13.4 一致）</w:t>
            </w:r>
          </w:p>
        </w:tc>
      </w:tr>
    </w:tbl>
    <w:p w14:paraId="60122D3E">
      <w:pPr>
        <w:spacing w:after="80"/>
      </w:pPr>
    </w:p>
    <w:p w14:paraId="579A8E60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2-1 测试范围</w:t>
      </w:r>
    </w:p>
    <w:p w14:paraId="284A4C07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2.3 设计文档表 13-1 覆盖对照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1984"/>
      </w:tblGrid>
      <w:tr w14:paraId="6FD7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54E4C14B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设计类别</w:t>
            </w:r>
          </w:p>
        </w:tc>
        <w:tc>
          <w:tcPr>
            <w:tcW w:w="3685" w:type="dxa"/>
            <w:shd w:val="clear" w:color="auto" w:fill="D9E2F3"/>
          </w:tcPr>
          <w:p w14:paraId="1522217F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代表能力</w:t>
            </w:r>
          </w:p>
        </w:tc>
        <w:tc>
          <w:tcPr>
            <w:tcW w:w="1984" w:type="dxa"/>
            <w:shd w:val="clear" w:color="auto" w:fill="D9E2F3"/>
          </w:tcPr>
          <w:p w14:paraId="444B0BD6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本次状态</w:t>
            </w:r>
          </w:p>
        </w:tc>
      </w:tr>
      <w:tr w14:paraId="181D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DD33D5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架构与生命周期</w:t>
            </w:r>
          </w:p>
        </w:tc>
        <w:tc>
          <w:tcPr>
            <w:tcW w:w="3685" w:type="dxa"/>
          </w:tcPr>
          <w:p w14:paraId="0D0414E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模块契约、Case 生命周期</w:t>
            </w:r>
          </w:p>
        </w:tc>
        <w:tc>
          <w:tcPr>
            <w:tcW w:w="1984" w:type="dxa"/>
          </w:tcPr>
          <w:p w14:paraId="2B84D24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72BC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B5C79C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日志接入</w:t>
            </w:r>
          </w:p>
        </w:tc>
        <w:tc>
          <w:tcPr>
            <w:tcW w:w="3685" w:type="dxa"/>
          </w:tcPr>
          <w:p w14:paraId="3ECDDBF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HTTP 接入与字段标准化</w:t>
            </w:r>
          </w:p>
        </w:tc>
        <w:tc>
          <w:tcPr>
            <w:tcW w:w="1984" w:type="dxa"/>
          </w:tcPr>
          <w:p w14:paraId="21A7683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387F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9C878E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安全执行</w:t>
            </w:r>
          </w:p>
        </w:tc>
        <w:tc>
          <w:tcPr>
            <w:tcW w:w="3685" w:type="dxa"/>
          </w:tcPr>
          <w:p w14:paraId="59DAE96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命令约束、安全修复回归</w:t>
            </w:r>
          </w:p>
        </w:tc>
        <w:tc>
          <w:tcPr>
            <w:tcW w:w="1984" w:type="dxa"/>
          </w:tcPr>
          <w:p w14:paraId="758F844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4481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6234B8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可观测性</w:t>
            </w:r>
          </w:p>
        </w:tc>
        <w:tc>
          <w:tcPr>
            <w:tcW w:w="3685" w:type="dxa"/>
          </w:tcPr>
          <w:p w14:paraId="0673A8C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健康检查、trace 传播</w:t>
            </w:r>
          </w:p>
        </w:tc>
        <w:tc>
          <w:tcPr>
            <w:tcW w:w="1984" w:type="dxa"/>
          </w:tcPr>
          <w:p w14:paraId="6B59633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6414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ED2655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知识与向量</w:t>
            </w:r>
          </w:p>
        </w:tc>
        <w:tc>
          <w:tcPr>
            <w:tcW w:w="3685" w:type="dxa"/>
          </w:tcPr>
          <w:p w14:paraId="554D3C3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Qdrant 存储与检索</w:t>
            </w:r>
          </w:p>
        </w:tc>
        <w:tc>
          <w:tcPr>
            <w:tcW w:w="1984" w:type="dxa"/>
          </w:tcPr>
          <w:p w14:paraId="16C0F1B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3DCA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5EE626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模型增强</w:t>
            </w:r>
          </w:p>
        </w:tc>
        <w:tc>
          <w:tcPr>
            <w:tcW w:w="3685" w:type="dxa"/>
          </w:tcPr>
          <w:p w14:paraId="067283F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提示词与增强器一致性</w:t>
            </w:r>
          </w:p>
        </w:tc>
        <w:tc>
          <w:tcPr>
            <w:tcW w:w="1984" w:type="dxa"/>
          </w:tcPr>
          <w:p w14:paraId="569080D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部分</w:t>
            </w:r>
          </w:p>
        </w:tc>
      </w:tr>
      <w:tr w14:paraId="7633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D132B3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外部能力离线</w:t>
            </w:r>
          </w:p>
        </w:tc>
        <w:tc>
          <w:tcPr>
            <w:tcW w:w="3685" w:type="dxa"/>
          </w:tcPr>
          <w:p w14:paraId="7E47B34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NDR/EDR/钓鱼等 mock</w:t>
            </w:r>
          </w:p>
        </w:tc>
        <w:tc>
          <w:tcPr>
            <w:tcW w:w="1984" w:type="dxa"/>
          </w:tcPr>
          <w:p w14:paraId="25CD6B1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</w:tbl>
    <w:p w14:paraId="2480DBA2">
      <w:pPr>
        <w:spacing w:after="80"/>
      </w:pPr>
    </w:p>
    <w:p w14:paraId="54380E09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2-2 对照设计文档表 13-1</w:t>
      </w:r>
    </w:p>
    <w:p w14:paraId="46F18722">
      <w:pPr>
        <w:spacing w:before="360" w:after="240" w:line="360" w:lineRule="auto"/>
        <w:ind w:firstLine="0" w:firstLineChars="0"/>
        <w:jc w:val="left"/>
        <w:outlineLvl w:val="0"/>
      </w:pPr>
      <w:bookmarkStart w:id="3" w:name="_Toc11371"/>
      <w:r>
        <w:rPr>
          <w:rFonts w:ascii="Times New Roman" w:hAnsi="Times New Roman" w:eastAsia="黑体" w:cs="Times New Roman"/>
          <w:b/>
          <w:color w:val="000000"/>
          <w:sz w:val="32"/>
        </w:rPr>
        <w:t>三、测试环境</w:t>
      </w:r>
      <w:bookmarkEnd w:id="3"/>
    </w:p>
    <w:p w14:paraId="30501198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3.1 硬件与软件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2C3E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6FA73630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项</w:t>
            </w:r>
          </w:p>
        </w:tc>
        <w:tc>
          <w:tcPr>
            <w:tcW w:w="6803" w:type="dxa"/>
            <w:shd w:val="clear" w:color="auto" w:fill="D9E2F3"/>
          </w:tcPr>
          <w:p w14:paraId="7521060B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配置</w:t>
            </w:r>
          </w:p>
        </w:tc>
      </w:tr>
      <w:tr w14:paraId="2666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C28BA3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w="6803" w:type="dxa"/>
          </w:tcPr>
          <w:p w14:paraId="74F0C1F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Windows 10/11 x64（测试主机）</w:t>
            </w:r>
          </w:p>
        </w:tc>
      </w:tr>
      <w:tr w14:paraId="352D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057320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Python</w:t>
            </w:r>
          </w:p>
        </w:tc>
        <w:tc>
          <w:tcPr>
            <w:tcW w:w="6803" w:type="dxa"/>
          </w:tcPr>
          <w:p w14:paraId="7E66769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3.11.9 + pytest 9.1.1</w:t>
            </w:r>
          </w:p>
        </w:tc>
      </w:tr>
      <w:tr w14:paraId="14CB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893E75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前端工具链</w:t>
            </w:r>
          </w:p>
        </w:tc>
        <w:tc>
          <w:tcPr>
            <w:tcW w:w="6803" w:type="dxa"/>
          </w:tcPr>
          <w:p w14:paraId="5D9D6F2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Node.js ≥ 22.12，TypeScript 5.9，Vite 7.3.6</w:t>
            </w:r>
          </w:p>
        </w:tc>
      </w:tr>
      <w:tr w14:paraId="00065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32C1E0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浏览器截图</w:t>
            </w:r>
          </w:p>
        </w:tc>
        <w:tc>
          <w:tcPr>
            <w:tcW w:w="6803" w:type="dxa"/>
          </w:tcPr>
          <w:p w14:paraId="7D1B680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Headless Chrome，--proxy-server=direct://（绕过本机 HTTP 代理）</w:t>
            </w:r>
          </w:p>
        </w:tc>
      </w:tr>
      <w:tr w14:paraId="057C2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E4313B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编排</w:t>
            </w:r>
          </w:p>
        </w:tc>
        <w:tc>
          <w:tcPr>
            <w:tcW w:w="6803" w:type="dxa"/>
          </w:tcPr>
          <w:p w14:paraId="06F6F16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Docker Compose，镜像标签 :dev</w:t>
            </w:r>
          </w:p>
        </w:tc>
      </w:tr>
    </w:tbl>
    <w:p w14:paraId="56837FA6">
      <w:pPr>
        <w:spacing w:after="80"/>
      </w:pPr>
    </w:p>
    <w:p w14:paraId="0E6BA6F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3-1 测试主机</w:t>
      </w:r>
    </w:p>
    <w:p w14:paraId="3B9EEC70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3.2 运行中的服务</w:t>
      </w:r>
    </w:p>
    <w:p w14:paraId="16712976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测试当日 docker compose ps 显示 22 个容器全部 Running。其中 Kafka、PostgreSQL、Redis、Qdrant、Temporal-PostgreSQL 带健康检查且为 healthy。前端容器对外 3001（页面）与 3002（Flink Dashboard 的 Basic Auth 反代）。后端 API 对外 8001。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835"/>
        <w:gridCol w:w="1701"/>
      </w:tblGrid>
      <w:tr w14:paraId="2C31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2F3"/>
          </w:tcPr>
          <w:p w14:paraId="395878EF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容器</w:t>
            </w:r>
          </w:p>
        </w:tc>
        <w:tc>
          <w:tcPr>
            <w:tcW w:w="2835" w:type="dxa"/>
            <w:shd w:val="clear" w:color="auto" w:fill="D9E2F3"/>
          </w:tcPr>
          <w:p w14:paraId="4BDED326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端口</w:t>
            </w:r>
          </w:p>
        </w:tc>
        <w:tc>
          <w:tcPr>
            <w:tcW w:w="1701" w:type="dxa"/>
            <w:shd w:val="clear" w:color="auto" w:fill="D9E2F3"/>
          </w:tcPr>
          <w:p w14:paraId="3BE71076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状态</w:t>
            </w:r>
          </w:p>
        </w:tc>
      </w:tr>
      <w:tr w14:paraId="2BD1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D360EB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shared-memory-backend</w:t>
            </w:r>
          </w:p>
        </w:tc>
        <w:tc>
          <w:tcPr>
            <w:tcW w:w="2835" w:type="dxa"/>
          </w:tcPr>
          <w:p w14:paraId="3751C15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0.0.0.0:8001</w:t>
            </w:r>
          </w:p>
        </w:tc>
        <w:tc>
          <w:tcPr>
            <w:tcW w:w="1701" w:type="dxa"/>
          </w:tcPr>
          <w:p w14:paraId="29C5A8A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Up</w:t>
            </w:r>
          </w:p>
        </w:tc>
      </w:tr>
      <w:tr w14:paraId="41424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5C9ED60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shared-memory-frontend</w:t>
            </w:r>
          </w:p>
        </w:tc>
        <w:tc>
          <w:tcPr>
            <w:tcW w:w="2835" w:type="dxa"/>
          </w:tcPr>
          <w:p w14:paraId="6BD8231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0.0.0.0:3001 / 3002</w:t>
            </w:r>
          </w:p>
        </w:tc>
        <w:tc>
          <w:tcPr>
            <w:tcW w:w="1701" w:type="dxa"/>
          </w:tcPr>
          <w:p w14:paraId="5C10E0D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Up</w:t>
            </w:r>
          </w:p>
        </w:tc>
      </w:tr>
      <w:tr w14:paraId="513B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53FA69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shared-memory-pg</w:t>
            </w:r>
          </w:p>
        </w:tc>
        <w:tc>
          <w:tcPr>
            <w:tcW w:w="2835" w:type="dxa"/>
          </w:tcPr>
          <w:p w14:paraId="7175B45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127.0.0.1:5433</w:t>
            </w:r>
          </w:p>
        </w:tc>
        <w:tc>
          <w:tcPr>
            <w:tcW w:w="1701" w:type="dxa"/>
          </w:tcPr>
          <w:p w14:paraId="23E183C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healthy</w:t>
            </w:r>
          </w:p>
        </w:tc>
      </w:tr>
      <w:tr w14:paraId="78D9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22BB3F4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shared-memory-redis</w:t>
            </w:r>
          </w:p>
        </w:tc>
        <w:tc>
          <w:tcPr>
            <w:tcW w:w="2835" w:type="dxa"/>
          </w:tcPr>
          <w:p w14:paraId="3C7E32A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127.0.0.1:6380</w:t>
            </w:r>
          </w:p>
        </w:tc>
        <w:tc>
          <w:tcPr>
            <w:tcW w:w="1701" w:type="dxa"/>
          </w:tcPr>
          <w:p w14:paraId="7938BDE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healthy</w:t>
            </w:r>
          </w:p>
        </w:tc>
      </w:tr>
      <w:tr w14:paraId="4CB01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476B2E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soc-kafka</w:t>
            </w:r>
          </w:p>
        </w:tc>
        <w:tc>
          <w:tcPr>
            <w:tcW w:w="2835" w:type="dxa"/>
          </w:tcPr>
          <w:p w14:paraId="28DBA21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9093 / 127.0.0.1:9094</w:t>
            </w:r>
          </w:p>
        </w:tc>
        <w:tc>
          <w:tcPr>
            <w:tcW w:w="1701" w:type="dxa"/>
          </w:tcPr>
          <w:p w14:paraId="10C2AB0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healthy</w:t>
            </w:r>
          </w:p>
        </w:tc>
      </w:tr>
      <w:tr w14:paraId="3DC8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0D739B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soc-qdrant</w:t>
            </w:r>
          </w:p>
        </w:tc>
        <w:tc>
          <w:tcPr>
            <w:tcW w:w="2835" w:type="dxa"/>
          </w:tcPr>
          <w:p w14:paraId="2C8592F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127.0.0.1:6333</w:t>
            </w:r>
          </w:p>
        </w:tc>
        <w:tc>
          <w:tcPr>
            <w:tcW w:w="1701" w:type="dxa"/>
          </w:tcPr>
          <w:p w14:paraId="3636408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healthy</w:t>
            </w:r>
          </w:p>
        </w:tc>
      </w:tr>
      <w:tr w14:paraId="6702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41E4E1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soc-flink-jobmanager + 3×TaskManager</w:t>
            </w:r>
          </w:p>
        </w:tc>
        <w:tc>
          <w:tcPr>
            <w:tcW w:w="2835" w:type="dxa"/>
          </w:tcPr>
          <w:p w14:paraId="04CD730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指标 9250–9253</w:t>
            </w:r>
          </w:p>
        </w:tc>
        <w:tc>
          <w:tcPr>
            <w:tcW w:w="1701" w:type="dxa"/>
          </w:tcPr>
          <w:p w14:paraId="45DEB67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Up</w:t>
            </w:r>
          </w:p>
        </w:tc>
      </w:tr>
      <w:tr w14:paraId="75C3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08A894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soc-jaeger</w:t>
            </w:r>
          </w:p>
        </w:tc>
        <w:tc>
          <w:tcPr>
            <w:tcW w:w="2835" w:type="dxa"/>
          </w:tcPr>
          <w:p w14:paraId="5B119B5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127.0.0.1:16686</w:t>
            </w:r>
          </w:p>
        </w:tc>
        <w:tc>
          <w:tcPr>
            <w:tcW w:w="1701" w:type="dxa"/>
          </w:tcPr>
          <w:p w14:paraId="29A41EE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Up</w:t>
            </w:r>
          </w:p>
        </w:tc>
      </w:tr>
      <w:tr w14:paraId="71D6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BB5F8A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soc-prometheus / grafana / tempo / otel</w:t>
            </w:r>
          </w:p>
        </w:tc>
        <w:tc>
          <w:tcPr>
            <w:tcW w:w="2835" w:type="dxa"/>
          </w:tcPr>
          <w:p w14:paraId="70B498C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本机回环</w:t>
            </w:r>
          </w:p>
        </w:tc>
        <w:tc>
          <w:tcPr>
            <w:tcW w:w="1701" w:type="dxa"/>
          </w:tcPr>
          <w:p w14:paraId="48AFB59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Up</w:t>
            </w:r>
          </w:p>
        </w:tc>
      </w:tr>
      <w:tr w14:paraId="0CDC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B998F1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soc-temporal + worker + ui + pg</w:t>
            </w:r>
          </w:p>
        </w:tc>
        <w:tc>
          <w:tcPr>
            <w:tcW w:w="2835" w:type="dxa"/>
          </w:tcPr>
          <w:p w14:paraId="091EB06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7233 等</w:t>
            </w:r>
          </w:p>
        </w:tc>
        <w:tc>
          <w:tcPr>
            <w:tcW w:w="1701" w:type="dxa"/>
          </w:tcPr>
          <w:p w14:paraId="02DD26F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Up</w:t>
            </w:r>
          </w:p>
        </w:tc>
      </w:tr>
    </w:tbl>
    <w:p w14:paraId="4C8EBD27">
      <w:pPr>
        <w:spacing w:after="80"/>
      </w:pPr>
    </w:p>
    <w:p w14:paraId="3FCAF84D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3-2 关键运行时服务（完整清单见证据 compose-ps.txt）</w:t>
      </w:r>
    </w:p>
    <w:p w14:paraId="09F1D60D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3.3 健康检查</w:t>
      </w:r>
    </w:p>
    <w:p w14:paraId="53207D14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独立请求 GET /api/health（绕过系统代理）返回 HTTP 200，JSON 为 status=ok，kafka=enabled，bootstrap=kafka:9092，大模型标识 MiniMax-M2.7，向量模型 embo-01。该端点为匿名可达，符合存活探针设计。</w:t>
      </w:r>
    </w:p>
    <w:p w14:paraId="1042BC66">
      <w:pPr>
        <w:spacing w:before="360" w:after="240" w:line="360" w:lineRule="auto"/>
        <w:ind w:firstLine="0" w:firstLineChars="0"/>
        <w:jc w:val="left"/>
        <w:outlineLvl w:val="0"/>
      </w:pPr>
      <w:bookmarkStart w:id="4" w:name="_Toc1292"/>
      <w:r>
        <w:rPr>
          <w:rFonts w:ascii="Times New Roman" w:hAnsi="Times New Roman" w:eastAsia="黑体" w:cs="Times New Roman"/>
          <w:b/>
          <w:color w:val="000000"/>
          <w:sz w:val="32"/>
        </w:rPr>
        <w:t>四、测试策略与方法</w:t>
      </w:r>
      <w:bookmarkEnd w:id="4"/>
    </w:p>
    <w:p w14:paraId="4E51841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4.1 方法</w:t>
      </w:r>
    </w:p>
    <w:p w14:paraId="46433376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采用四条并行证据链：其一，在 backend/ 目录执行全量 pytest，输出 JUnit XML，再与摘要 JSON 交叉核对；其二，拉取运行中的 OpenAPI，按标签统计并抽样探活；其三，无头 Chrome 对 16 条路由截图，随后以管理员会话复拍数据页；其四，对照设计文档表 13-2 与 13.3 节，把场景映射到已有自动化或运行时证据。</w:t>
      </w:r>
    </w:p>
    <w:p w14:paraId="02F3F90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4.2 判定规则</w:t>
      </w:r>
    </w:p>
    <w:p w14:paraId="1736BB59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自动化以断言为准。接口匿名 401 记为「鉴权生效」而非失败。登录后 5xx 记为缺陷。前端以页面关键文案可见、非空白截图为通过。性能数字只记录当次采样，不作达标判定。设计文档写明「不虚构生产流量上的统一性能实测值」，本报告遵守该约束。</w:t>
      </w:r>
    </w:p>
    <w:p w14:paraId="2BB0D3C3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4.3 独立性</w:t>
      </w:r>
    </w:p>
    <w:p w14:paraId="468894E8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pytest 计数由 JUnit XML 重新解析核对，与摘要 JSON、报告正文三方一致。OpenAPI 操作数 207 由路径清单长度与按标签求和交叉验证。健康检查与 Flink 反代 401 由独立 HTTP 请求复现。</w:t>
      </w:r>
    </w:p>
    <w:p w14:paraId="52EA49E8">
      <w:pPr>
        <w:spacing w:before="360" w:after="240" w:line="360" w:lineRule="auto"/>
        <w:ind w:firstLine="0" w:firstLineChars="0"/>
        <w:jc w:val="left"/>
        <w:outlineLvl w:val="0"/>
      </w:pPr>
      <w:bookmarkStart w:id="5" w:name="_Toc992"/>
      <w:r>
        <w:rPr>
          <w:rFonts w:ascii="Times New Roman" w:hAnsi="Times New Roman" w:eastAsia="黑体" w:cs="Times New Roman"/>
          <w:b/>
          <w:color w:val="000000"/>
          <w:sz w:val="32"/>
        </w:rPr>
        <w:t>五、自动化回归测试</w:t>
      </w:r>
      <w:bookmarkEnd w:id="5"/>
    </w:p>
    <w:p w14:paraId="49859D3A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5.1 执行命令与结果</w:t>
      </w:r>
    </w:p>
    <w:p w14:paraId="620535E9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在 backend/ 目录执行：python -X utf8 -m pytest tests -q --tb=line --junitxml=../docs/test-campaign/pytest-junit.xml --maxfail=0。必须在 backend 下启动：若从仓库根运行，根目录 .env 会使 Settings 因 extra_forbidden 失败。</w:t>
      </w:r>
    </w:p>
    <w:p w14:paraId="063D84C1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41840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40D4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5-1 后端自动化测试通过率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3E2F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418B8C23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指标</w:t>
            </w:r>
          </w:p>
        </w:tc>
        <w:tc>
          <w:tcPr>
            <w:tcW w:w="6236" w:type="dxa"/>
            <w:shd w:val="clear" w:color="auto" w:fill="D9E2F3"/>
          </w:tcPr>
          <w:p w14:paraId="351CB10A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数值</w:t>
            </w:r>
          </w:p>
        </w:tc>
      </w:tr>
      <w:tr w14:paraId="78FAC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6280B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收集用例</w:t>
            </w:r>
          </w:p>
        </w:tc>
        <w:tc>
          <w:tcPr>
            <w:tcW w:w="6236" w:type="dxa"/>
          </w:tcPr>
          <w:p w14:paraId="305E112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867</w:t>
            </w:r>
          </w:p>
        </w:tc>
      </w:tr>
      <w:tr w14:paraId="79C8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DFE79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通过</w:t>
            </w:r>
          </w:p>
        </w:tc>
        <w:tc>
          <w:tcPr>
            <w:tcW w:w="6236" w:type="dxa"/>
          </w:tcPr>
          <w:p w14:paraId="04E342A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850（98.0%）</w:t>
            </w:r>
          </w:p>
        </w:tc>
      </w:tr>
      <w:tr w14:paraId="4F02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B6874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失败</w:t>
            </w:r>
          </w:p>
        </w:tc>
        <w:tc>
          <w:tcPr>
            <w:tcW w:w="6236" w:type="dxa"/>
          </w:tcPr>
          <w:p w14:paraId="560DA9F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14</w:t>
            </w:r>
          </w:p>
        </w:tc>
      </w:tr>
      <w:tr w14:paraId="5F62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1616B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跳过</w:t>
            </w:r>
          </w:p>
        </w:tc>
        <w:tc>
          <w:tcPr>
            <w:tcW w:w="6236" w:type="dxa"/>
          </w:tcPr>
          <w:p w14:paraId="58064FC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</w:t>
            </w:r>
          </w:p>
        </w:tc>
      </w:tr>
      <w:tr w14:paraId="27F1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86045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错误</w:t>
            </w:r>
          </w:p>
        </w:tc>
        <w:tc>
          <w:tcPr>
            <w:tcW w:w="6236" w:type="dxa"/>
          </w:tcPr>
          <w:p w14:paraId="0B750CA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B60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B23E1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236" w:type="dxa"/>
          </w:tcPr>
          <w:p w14:paraId="451A192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97</w:t>
            </w:r>
          </w:p>
        </w:tc>
      </w:tr>
      <w:tr w14:paraId="301A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8EF9F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耗时</w:t>
            </w:r>
          </w:p>
        </w:tc>
        <w:tc>
          <w:tcPr>
            <w:tcW w:w="6236" w:type="dxa"/>
          </w:tcPr>
          <w:p w14:paraId="6D11133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76.36 秒</w:t>
            </w:r>
          </w:p>
        </w:tc>
      </w:tr>
      <w:tr w14:paraId="493B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F83EE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时间</w:t>
            </w:r>
          </w:p>
        </w:tc>
        <w:tc>
          <w:tcPr>
            <w:tcW w:w="6236" w:type="dxa"/>
          </w:tcPr>
          <w:p w14:paraId="53C617A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2026-09-09 19:53:18 — 19:54:34（+08:00）</w:t>
            </w:r>
          </w:p>
        </w:tc>
      </w:tr>
    </w:tbl>
    <w:p w14:paraId="7D5A4AFA">
      <w:pPr>
        <w:spacing w:after="80"/>
      </w:pPr>
    </w:p>
    <w:p w14:paraId="24904BC2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5-1 pytest 总览（数字取自 pytest-junit.xml）</w:t>
      </w:r>
    </w:p>
    <w:p w14:paraId="38D13981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5.2 分模块结果</w:t>
      </w:r>
    </w:p>
    <w:p w14:paraId="7B6AD3FC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297116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CFA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5-2 分模块回归结果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247"/>
        <w:gridCol w:w="1417"/>
        <w:gridCol w:w="1417"/>
        <w:gridCol w:w="1417"/>
      </w:tblGrid>
      <w:tr w14:paraId="6D6F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416E950E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模块</w:t>
            </w:r>
          </w:p>
        </w:tc>
        <w:tc>
          <w:tcPr>
            <w:tcW w:w="1247" w:type="dxa"/>
            <w:shd w:val="clear" w:color="auto" w:fill="D9E2F3"/>
          </w:tcPr>
          <w:p w14:paraId="0E82BF18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文件</w:t>
            </w:r>
          </w:p>
        </w:tc>
        <w:tc>
          <w:tcPr>
            <w:tcW w:w="1417" w:type="dxa"/>
            <w:shd w:val="clear" w:color="auto" w:fill="D9E2F3"/>
          </w:tcPr>
          <w:p w14:paraId="78121D65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通过</w:t>
            </w:r>
          </w:p>
        </w:tc>
        <w:tc>
          <w:tcPr>
            <w:tcW w:w="1417" w:type="dxa"/>
            <w:shd w:val="clear" w:color="auto" w:fill="D9E2F3"/>
          </w:tcPr>
          <w:p w14:paraId="2204CC35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失败</w:t>
            </w:r>
          </w:p>
        </w:tc>
        <w:tc>
          <w:tcPr>
            <w:tcW w:w="1417" w:type="dxa"/>
            <w:shd w:val="clear" w:color="auto" w:fill="D9E2F3"/>
          </w:tcPr>
          <w:p w14:paraId="4EF5EF46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跳过</w:t>
            </w:r>
          </w:p>
        </w:tc>
      </w:tr>
      <w:tr w14:paraId="3D8F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3C332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架构 / 生命周期</w:t>
            </w:r>
          </w:p>
        </w:tc>
        <w:tc>
          <w:tcPr>
            <w:tcW w:w="1247" w:type="dxa"/>
          </w:tcPr>
          <w:p w14:paraId="24EAB55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w="1417" w:type="dxa"/>
          </w:tcPr>
          <w:p w14:paraId="6F93B28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78</w:t>
            </w:r>
          </w:p>
        </w:tc>
        <w:tc>
          <w:tcPr>
            <w:tcW w:w="1417" w:type="dxa"/>
          </w:tcPr>
          <w:p w14:paraId="7FD00EE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1417" w:type="dxa"/>
          </w:tcPr>
          <w:p w14:paraId="31292EB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6F00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A65F1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接入 / 日志</w:t>
            </w:r>
          </w:p>
        </w:tc>
        <w:tc>
          <w:tcPr>
            <w:tcW w:w="1247" w:type="dxa"/>
          </w:tcPr>
          <w:p w14:paraId="14418DF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417" w:type="dxa"/>
          </w:tcPr>
          <w:p w14:paraId="2CA4A8E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19</w:t>
            </w:r>
          </w:p>
        </w:tc>
        <w:tc>
          <w:tcPr>
            <w:tcW w:w="1417" w:type="dxa"/>
          </w:tcPr>
          <w:p w14:paraId="48A02E0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w="1417" w:type="dxa"/>
          </w:tcPr>
          <w:p w14:paraId="65CA7E6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4EAC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D0E3A8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检测</w:t>
            </w:r>
          </w:p>
        </w:tc>
        <w:tc>
          <w:tcPr>
            <w:tcW w:w="1247" w:type="dxa"/>
          </w:tcPr>
          <w:p w14:paraId="28E1E67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w="1417" w:type="dxa"/>
          </w:tcPr>
          <w:p w14:paraId="5515E3B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73</w:t>
            </w:r>
          </w:p>
        </w:tc>
        <w:tc>
          <w:tcPr>
            <w:tcW w:w="1417" w:type="dxa"/>
          </w:tcPr>
          <w:p w14:paraId="2B3F6FD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w="1417" w:type="dxa"/>
          </w:tcPr>
          <w:p w14:paraId="3574489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AC1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AEBB0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Audit-LLM</w:t>
            </w:r>
          </w:p>
        </w:tc>
        <w:tc>
          <w:tcPr>
            <w:tcW w:w="1247" w:type="dxa"/>
          </w:tcPr>
          <w:p w14:paraId="33DF137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</w:t>
            </w:r>
          </w:p>
        </w:tc>
        <w:tc>
          <w:tcPr>
            <w:tcW w:w="1417" w:type="dxa"/>
          </w:tcPr>
          <w:p w14:paraId="21E0EF2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176</w:t>
            </w:r>
          </w:p>
        </w:tc>
        <w:tc>
          <w:tcPr>
            <w:tcW w:w="1417" w:type="dxa"/>
          </w:tcPr>
          <w:p w14:paraId="34D3213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1417" w:type="dxa"/>
          </w:tcPr>
          <w:p w14:paraId="57495E2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4D0C2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C6F84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守卫 / 安全</w:t>
            </w:r>
          </w:p>
        </w:tc>
        <w:tc>
          <w:tcPr>
            <w:tcW w:w="1247" w:type="dxa"/>
          </w:tcPr>
          <w:p w14:paraId="4AED8F9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13</w:t>
            </w:r>
          </w:p>
        </w:tc>
        <w:tc>
          <w:tcPr>
            <w:tcW w:w="1417" w:type="dxa"/>
          </w:tcPr>
          <w:p w14:paraId="6FFA468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111</w:t>
            </w:r>
          </w:p>
        </w:tc>
        <w:tc>
          <w:tcPr>
            <w:tcW w:w="1417" w:type="dxa"/>
          </w:tcPr>
          <w:p w14:paraId="665087C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w="1417" w:type="dxa"/>
          </w:tcPr>
          <w:p w14:paraId="31D2EE9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4978E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B6AB0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响应 / 遏制</w:t>
            </w:r>
          </w:p>
        </w:tc>
        <w:tc>
          <w:tcPr>
            <w:tcW w:w="1247" w:type="dxa"/>
          </w:tcPr>
          <w:p w14:paraId="5233A3C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13</w:t>
            </w:r>
          </w:p>
        </w:tc>
        <w:tc>
          <w:tcPr>
            <w:tcW w:w="1417" w:type="dxa"/>
          </w:tcPr>
          <w:p w14:paraId="1345EB4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154</w:t>
            </w:r>
          </w:p>
        </w:tc>
        <w:tc>
          <w:tcPr>
            <w:tcW w:w="1417" w:type="dxa"/>
          </w:tcPr>
          <w:p w14:paraId="0801ABD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1417" w:type="dxa"/>
          </w:tcPr>
          <w:p w14:paraId="3A72353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239D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9DEBC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RAG / 向量</w:t>
            </w:r>
          </w:p>
        </w:tc>
        <w:tc>
          <w:tcPr>
            <w:tcW w:w="1247" w:type="dxa"/>
          </w:tcPr>
          <w:p w14:paraId="5C9DF49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417" w:type="dxa"/>
          </w:tcPr>
          <w:p w14:paraId="7EEF559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25</w:t>
            </w:r>
          </w:p>
        </w:tc>
        <w:tc>
          <w:tcPr>
            <w:tcW w:w="1417" w:type="dxa"/>
          </w:tcPr>
          <w:p w14:paraId="7016C1F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w="1417" w:type="dxa"/>
          </w:tcPr>
          <w:p w14:paraId="269F180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</w:t>
            </w:r>
          </w:p>
        </w:tc>
      </w:tr>
      <w:tr w14:paraId="181D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B86FE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可观测性</w:t>
            </w:r>
          </w:p>
        </w:tc>
        <w:tc>
          <w:tcPr>
            <w:tcW w:w="1247" w:type="dxa"/>
          </w:tcPr>
          <w:p w14:paraId="7B5261B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w="1417" w:type="dxa"/>
          </w:tcPr>
          <w:p w14:paraId="3977673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68</w:t>
            </w:r>
          </w:p>
        </w:tc>
        <w:tc>
          <w:tcPr>
            <w:tcW w:w="1417" w:type="dxa"/>
          </w:tcPr>
          <w:p w14:paraId="5C7A74F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w="1417" w:type="dxa"/>
          </w:tcPr>
          <w:p w14:paraId="67556C3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EE3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F33CD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自博弈</w:t>
            </w:r>
          </w:p>
        </w:tc>
        <w:tc>
          <w:tcPr>
            <w:tcW w:w="1247" w:type="dxa"/>
          </w:tcPr>
          <w:p w14:paraId="64A007A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w="1417" w:type="dxa"/>
          </w:tcPr>
          <w:p w14:paraId="3B2978E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95</w:t>
            </w:r>
          </w:p>
        </w:tc>
        <w:tc>
          <w:tcPr>
            <w:tcW w:w="1417" w:type="dxa"/>
          </w:tcPr>
          <w:p w14:paraId="2A3F8DB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w="1417" w:type="dxa"/>
          </w:tcPr>
          <w:p w14:paraId="03B2CF9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52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A056E4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外部能力</w:t>
            </w:r>
          </w:p>
        </w:tc>
        <w:tc>
          <w:tcPr>
            <w:tcW w:w="1247" w:type="dxa"/>
          </w:tcPr>
          <w:p w14:paraId="63A8C96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w="1417" w:type="dxa"/>
          </w:tcPr>
          <w:p w14:paraId="5DB067C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36</w:t>
            </w:r>
          </w:p>
        </w:tc>
        <w:tc>
          <w:tcPr>
            <w:tcW w:w="1417" w:type="dxa"/>
          </w:tcPr>
          <w:p w14:paraId="02B89AF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1417" w:type="dxa"/>
          </w:tcPr>
          <w:p w14:paraId="3838488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BBF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C9383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基础设施</w:t>
            </w:r>
          </w:p>
        </w:tc>
        <w:tc>
          <w:tcPr>
            <w:tcW w:w="1247" w:type="dxa"/>
          </w:tcPr>
          <w:p w14:paraId="5DCB68E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417" w:type="dxa"/>
          </w:tcPr>
          <w:p w14:paraId="1AA7992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15</w:t>
            </w:r>
          </w:p>
        </w:tc>
        <w:tc>
          <w:tcPr>
            <w:tcW w:w="1417" w:type="dxa"/>
          </w:tcPr>
          <w:p w14:paraId="2593D10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w="1417" w:type="dxa"/>
          </w:tcPr>
          <w:p w14:paraId="5A70C77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</w:t>
            </w:r>
          </w:p>
        </w:tc>
      </w:tr>
      <w:tr w14:paraId="66EB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6C00D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合计</w:t>
            </w:r>
          </w:p>
        </w:tc>
        <w:tc>
          <w:tcPr>
            <w:tcW w:w="1247" w:type="dxa"/>
          </w:tcPr>
          <w:p w14:paraId="1AC7EF4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97</w:t>
            </w:r>
          </w:p>
        </w:tc>
        <w:tc>
          <w:tcPr>
            <w:tcW w:w="1417" w:type="dxa"/>
          </w:tcPr>
          <w:p w14:paraId="1F0F402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850</w:t>
            </w:r>
          </w:p>
        </w:tc>
        <w:tc>
          <w:tcPr>
            <w:tcW w:w="1417" w:type="dxa"/>
          </w:tcPr>
          <w:p w14:paraId="2299D1C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14</w:t>
            </w:r>
          </w:p>
        </w:tc>
        <w:tc>
          <w:tcPr>
            <w:tcW w:w="1417" w:type="dxa"/>
          </w:tcPr>
          <w:p w14:paraId="658748F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</w:t>
            </w:r>
          </w:p>
        </w:tc>
      </w:tr>
    </w:tbl>
    <w:p w14:paraId="419CC61D">
      <w:pPr>
        <w:spacing w:after="80"/>
      </w:pPr>
    </w:p>
    <w:p w14:paraId="134BF1D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5-2 分桶统计</w:t>
      </w:r>
    </w:p>
    <w:p w14:paraId="422FB56B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守卫与安全桶 111 例全部通过，含 MCP Guard、控制面安全、工具行为签名与限流。自博弈 95 例全部通过。可观测性 68 例全部通过。失败集中在威胁分类（容器路径注入）、案例自动化（SQLite 无 hashtext）与提示词完整性。</w:t>
      </w:r>
    </w:p>
    <w:p w14:paraId="740E665D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5.3 失败归因</w:t>
      </w:r>
    </w:p>
    <w:p w14:paraId="59D30406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14 个失败已逐条对照源码与定向复跑。10 个由仓库根 .env 把 Docker 容器路径 RESPONSE_POLICIES_DIR=/data/response_policies、RESPONSE_TAXONOMY_PATH=... 注入本机进程引起：本机不存在 /data，分类索引为空，策略引擎回退代码种子。对照实验用仓库内 taxonomy.yml 可加载 18 个叶子，分类结果符合预期，故被测逻辑本身成立。</w:t>
      </w:r>
    </w:p>
    <w:p w14:paraId="1B1D531B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其余 4 个：案例生命周期对策略内容字段形状断言不一致；两例仅在全量顺序下失败、单独运行通过（事件循环与全局计数器污染）；一例为真实代码问题——agents/audit_single.py 内联硬编码 system prompt，违反「提示词走 templates」约束。明细见附录 A。</w:t>
      </w:r>
    </w:p>
    <w:p w14:paraId="0062CC81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5.4 跳过项</w:t>
      </w:r>
    </w:p>
    <w:p w14:paraId="4CBA6499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3 条 Qdrant 未配置降级用例被跳过，原因是本环境已配置 qdrant_url。它们验证的是「无向量库时回退 PostgreSQL」路径，需在干净环境补跑，不代表检索主路径失败。</w:t>
      </w:r>
    </w:p>
    <w:p w14:paraId="7448E9C5">
      <w:pPr>
        <w:spacing w:before="360" w:after="240" w:line="360" w:lineRule="auto"/>
        <w:ind w:firstLine="0" w:firstLineChars="0"/>
        <w:jc w:val="left"/>
        <w:outlineLvl w:val="0"/>
      </w:pPr>
      <w:bookmarkStart w:id="6" w:name="_Toc3051"/>
      <w:r>
        <w:rPr>
          <w:rFonts w:ascii="Times New Roman" w:hAnsi="Times New Roman" w:eastAsia="黑体" w:cs="Times New Roman"/>
          <w:b/>
          <w:color w:val="000000"/>
          <w:sz w:val="32"/>
        </w:rPr>
        <w:t>六、接口与运行时探活</w:t>
      </w:r>
      <w:bookmarkEnd w:id="6"/>
    </w:p>
    <w:p w14:paraId="69C64444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6.1 OpenAPI 盘点</w:t>
      </w:r>
    </w:p>
    <w:p w14:paraId="7AF59DC5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GET /openapi.json 返回服务标题「共享记忆服务层」版本 2.0.0。共 194 条路径、207 个操作。按标签：ops 56、audit 22、phishing 20、rag 19、response 19，其余见下图。</w:t>
      </w:r>
    </w:p>
    <w:p w14:paraId="7A1A2165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297116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CEFB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6-1 OpenAPI 操作按标签分布</w:t>
      </w:r>
    </w:p>
    <w:p w14:paraId="2B1C5675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81F9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6-2 运行中的 Swagger UI（/docs，HTTP 200）</w:t>
      </w:r>
    </w:p>
    <w:p w14:paraId="237FEF23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6.2 匿名探活</w:t>
      </w:r>
    </w:p>
    <w:p w14:paraId="53BB06AC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除健康检查、文档与 OpenAPI 外，业务接口匿名访问一律 401，时延 1–5 毫秒。这是控制面安全的预期行为，不记失败。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247"/>
        <w:gridCol w:w="1417"/>
        <w:gridCol w:w="1984"/>
      </w:tblGrid>
      <w:tr w14:paraId="4436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841CFB4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接口</w:t>
            </w:r>
          </w:p>
        </w:tc>
        <w:tc>
          <w:tcPr>
            <w:tcW w:w="1247" w:type="dxa"/>
            <w:shd w:val="clear" w:color="auto" w:fill="D9E2F3"/>
          </w:tcPr>
          <w:p w14:paraId="612501CE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状态</w:t>
            </w:r>
          </w:p>
        </w:tc>
        <w:tc>
          <w:tcPr>
            <w:tcW w:w="1417" w:type="dxa"/>
            <w:shd w:val="clear" w:color="auto" w:fill="D9E2F3"/>
          </w:tcPr>
          <w:p w14:paraId="6C8F50E7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时延</w:t>
            </w:r>
          </w:p>
        </w:tc>
        <w:tc>
          <w:tcPr>
            <w:tcW w:w="1984" w:type="dxa"/>
            <w:shd w:val="clear" w:color="auto" w:fill="D9E2F3"/>
          </w:tcPr>
          <w:p w14:paraId="32DEE56C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结论</w:t>
            </w:r>
          </w:p>
        </w:tc>
      </w:tr>
      <w:tr w14:paraId="2B4F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BB2AE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/api/health</w:t>
            </w:r>
          </w:p>
        </w:tc>
        <w:tc>
          <w:tcPr>
            <w:tcW w:w="1247" w:type="dxa"/>
          </w:tcPr>
          <w:p w14:paraId="19F0A6B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6D62810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27 ms</w:t>
            </w:r>
          </w:p>
        </w:tc>
        <w:tc>
          <w:tcPr>
            <w:tcW w:w="1984" w:type="dxa"/>
          </w:tcPr>
          <w:p w14:paraId="33879C6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OK</w:t>
            </w:r>
          </w:p>
        </w:tc>
      </w:tr>
      <w:tr w14:paraId="5364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0A16BE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/docs</w:t>
            </w:r>
          </w:p>
        </w:tc>
        <w:tc>
          <w:tcPr>
            <w:tcW w:w="1247" w:type="dxa"/>
          </w:tcPr>
          <w:p w14:paraId="5E7B7A4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2C0182C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 ms</w:t>
            </w:r>
          </w:p>
        </w:tc>
        <w:tc>
          <w:tcPr>
            <w:tcW w:w="1984" w:type="dxa"/>
          </w:tcPr>
          <w:p w14:paraId="308173A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OK</w:t>
            </w:r>
          </w:p>
        </w:tc>
      </w:tr>
      <w:tr w14:paraId="6E8E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2F0F5D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/openapi.json</w:t>
            </w:r>
          </w:p>
        </w:tc>
        <w:tc>
          <w:tcPr>
            <w:tcW w:w="1247" w:type="dxa"/>
          </w:tcPr>
          <w:p w14:paraId="551422B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7E3E04A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5 ms</w:t>
            </w:r>
          </w:p>
        </w:tc>
        <w:tc>
          <w:tcPr>
            <w:tcW w:w="1984" w:type="dxa"/>
          </w:tcPr>
          <w:p w14:paraId="1194AF9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OK</w:t>
            </w:r>
          </w:p>
        </w:tc>
      </w:tr>
      <w:tr w14:paraId="3F50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91399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/api/stats</w:t>
            </w:r>
          </w:p>
        </w:tc>
        <w:tc>
          <w:tcPr>
            <w:tcW w:w="1247" w:type="dxa"/>
          </w:tcPr>
          <w:p w14:paraId="5CE288F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401</w:t>
            </w:r>
          </w:p>
        </w:tc>
        <w:tc>
          <w:tcPr>
            <w:tcW w:w="1417" w:type="dxa"/>
          </w:tcPr>
          <w:p w14:paraId="1C13A55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 ms</w:t>
            </w:r>
          </w:p>
        </w:tc>
        <w:tc>
          <w:tcPr>
            <w:tcW w:w="1984" w:type="dxa"/>
          </w:tcPr>
          <w:p w14:paraId="2C3E277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鉴权生效</w:t>
            </w:r>
          </w:p>
        </w:tc>
      </w:tr>
      <w:tr w14:paraId="58CE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65B0A8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/api/logs/events</w:t>
            </w:r>
          </w:p>
        </w:tc>
        <w:tc>
          <w:tcPr>
            <w:tcW w:w="1247" w:type="dxa"/>
          </w:tcPr>
          <w:p w14:paraId="4DC850A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401</w:t>
            </w:r>
          </w:p>
        </w:tc>
        <w:tc>
          <w:tcPr>
            <w:tcW w:w="1417" w:type="dxa"/>
          </w:tcPr>
          <w:p w14:paraId="55ACF04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 ms</w:t>
            </w:r>
          </w:p>
        </w:tc>
        <w:tc>
          <w:tcPr>
            <w:tcW w:w="1984" w:type="dxa"/>
          </w:tcPr>
          <w:p w14:paraId="636AA5B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鉴权生效</w:t>
            </w:r>
          </w:p>
        </w:tc>
      </w:tr>
      <w:tr w14:paraId="73C2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81104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/api/response/policies</w:t>
            </w:r>
          </w:p>
        </w:tc>
        <w:tc>
          <w:tcPr>
            <w:tcW w:w="1247" w:type="dxa"/>
          </w:tcPr>
          <w:p w14:paraId="275851B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401</w:t>
            </w:r>
          </w:p>
        </w:tc>
        <w:tc>
          <w:tcPr>
            <w:tcW w:w="1417" w:type="dxa"/>
          </w:tcPr>
          <w:p w14:paraId="123C893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 ms</w:t>
            </w:r>
          </w:p>
        </w:tc>
        <w:tc>
          <w:tcPr>
            <w:tcW w:w="1984" w:type="dxa"/>
          </w:tcPr>
          <w:p w14:paraId="129888E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鉴权生效</w:t>
            </w:r>
          </w:p>
        </w:tc>
      </w:tr>
      <w:tr w14:paraId="00AA2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DD1792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/api/ops/kpi</w:t>
            </w:r>
          </w:p>
        </w:tc>
        <w:tc>
          <w:tcPr>
            <w:tcW w:w="1247" w:type="dxa"/>
          </w:tcPr>
          <w:p w14:paraId="25EF851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401</w:t>
            </w:r>
          </w:p>
        </w:tc>
        <w:tc>
          <w:tcPr>
            <w:tcW w:w="1417" w:type="dxa"/>
          </w:tcPr>
          <w:p w14:paraId="57520F2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3 ms</w:t>
            </w:r>
          </w:p>
        </w:tc>
        <w:tc>
          <w:tcPr>
            <w:tcW w:w="1984" w:type="dxa"/>
          </w:tcPr>
          <w:p w14:paraId="37B09CE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鉴权生效</w:t>
            </w:r>
          </w:p>
        </w:tc>
      </w:tr>
      <w:tr w14:paraId="398FA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5757FA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/api/self-play/catalog</w:t>
            </w:r>
          </w:p>
        </w:tc>
        <w:tc>
          <w:tcPr>
            <w:tcW w:w="1247" w:type="dxa"/>
          </w:tcPr>
          <w:p w14:paraId="428ED60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401</w:t>
            </w:r>
          </w:p>
        </w:tc>
        <w:tc>
          <w:tcPr>
            <w:tcW w:w="1417" w:type="dxa"/>
          </w:tcPr>
          <w:p w14:paraId="0F3D099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 ms</w:t>
            </w:r>
          </w:p>
        </w:tc>
        <w:tc>
          <w:tcPr>
            <w:tcW w:w="1984" w:type="dxa"/>
          </w:tcPr>
          <w:p w14:paraId="5481909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鉴权生效</w:t>
            </w:r>
          </w:p>
        </w:tc>
      </w:tr>
    </w:tbl>
    <w:p w14:paraId="306F08CF">
      <w:pPr>
        <w:spacing w:after="80"/>
      </w:pPr>
    </w:p>
    <w:p w14:paraId="5F237A7D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6-1 匿名探活（节选）</w:t>
      </w:r>
    </w:p>
    <w:p w14:paraId="2298F79E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6.3 登录后复测</w:t>
      </w:r>
    </w:p>
    <w:p w14:paraId="1C8C44BD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使用管理员会话（令牌仅驻留内存，不写入证据文件）复测 15 个代表性 GET。14 个返回 200。日志事件接口返回数组长度 5；响应策略数组长度 19；动作数组长度 5。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1134"/>
        <w:gridCol w:w="1417"/>
        <w:gridCol w:w="2835"/>
      </w:tblGrid>
      <w:tr w14:paraId="4C69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D9E2F3"/>
          </w:tcPr>
          <w:p w14:paraId="020525A8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接口</w:t>
            </w:r>
          </w:p>
        </w:tc>
        <w:tc>
          <w:tcPr>
            <w:tcW w:w="1134" w:type="dxa"/>
            <w:shd w:val="clear" w:color="auto" w:fill="D9E2F3"/>
          </w:tcPr>
          <w:p w14:paraId="65DCFC44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状态</w:t>
            </w:r>
          </w:p>
        </w:tc>
        <w:tc>
          <w:tcPr>
            <w:tcW w:w="1417" w:type="dxa"/>
            <w:shd w:val="clear" w:color="auto" w:fill="D9E2F3"/>
          </w:tcPr>
          <w:p w14:paraId="217CBE35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时延</w:t>
            </w:r>
          </w:p>
        </w:tc>
        <w:tc>
          <w:tcPr>
            <w:tcW w:w="2835" w:type="dxa"/>
            <w:shd w:val="clear" w:color="auto" w:fill="D9E2F3"/>
          </w:tcPr>
          <w:p w14:paraId="043B50A3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要点</w:t>
            </w:r>
          </w:p>
        </w:tc>
      </w:tr>
      <w:tr w14:paraId="661F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091032F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/api/stats</w:t>
            </w:r>
          </w:p>
        </w:tc>
        <w:tc>
          <w:tcPr>
            <w:tcW w:w="1134" w:type="dxa"/>
          </w:tcPr>
          <w:p w14:paraId="0AF94B5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66A09DE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141 ms</w:t>
            </w:r>
          </w:p>
        </w:tc>
        <w:tc>
          <w:tcPr>
            <w:tcW w:w="2835" w:type="dxa"/>
          </w:tcPr>
          <w:p w14:paraId="03411B6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security_events 等统计键齐全</w:t>
            </w:r>
          </w:p>
        </w:tc>
      </w:tr>
      <w:tr w14:paraId="644F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55E9546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/api/logs/events?limit=5</w:t>
            </w:r>
          </w:p>
        </w:tc>
        <w:tc>
          <w:tcPr>
            <w:tcW w:w="1134" w:type="dxa"/>
          </w:tcPr>
          <w:p w14:paraId="7360FFB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2C44292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154 ms</w:t>
            </w:r>
          </w:p>
        </w:tc>
        <w:tc>
          <w:tcPr>
            <w:tcW w:w="2835" w:type="dxa"/>
          </w:tcPr>
          <w:p w14:paraId="58A17E1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含 severity / src_ip / anomaly_score</w:t>
            </w:r>
          </w:p>
        </w:tc>
      </w:tr>
      <w:tr w14:paraId="16C5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43E060B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/api/observability/health</w:t>
            </w:r>
          </w:p>
        </w:tc>
        <w:tc>
          <w:tcPr>
            <w:tcW w:w="1134" w:type="dxa"/>
          </w:tcPr>
          <w:p w14:paraId="05CEC7B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16F65A2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5 ms</w:t>
            </w:r>
          </w:p>
        </w:tc>
        <w:tc>
          <w:tcPr>
            <w:tcW w:w="2835" w:type="dxa"/>
          </w:tcPr>
          <w:p w14:paraId="39439BB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overall_status / stages</w:t>
            </w:r>
          </w:p>
        </w:tc>
      </w:tr>
      <w:tr w14:paraId="0729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0D7840E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/api/rag/stats</w:t>
            </w:r>
          </w:p>
        </w:tc>
        <w:tc>
          <w:tcPr>
            <w:tcW w:w="1134" w:type="dxa"/>
          </w:tcPr>
          <w:p w14:paraId="7D8D951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70387E6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59 ms</w:t>
            </w:r>
          </w:p>
        </w:tc>
        <w:tc>
          <w:tcPr>
            <w:tcW w:w="2835" w:type="dxa"/>
          </w:tcPr>
          <w:p w14:paraId="4468D76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documents / chunks</w:t>
            </w:r>
          </w:p>
        </w:tc>
      </w:tr>
      <w:tr w14:paraId="65AD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0A9230D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/api/response/policies</w:t>
            </w:r>
          </w:p>
        </w:tc>
        <w:tc>
          <w:tcPr>
            <w:tcW w:w="1134" w:type="dxa"/>
          </w:tcPr>
          <w:p w14:paraId="0446B09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225D9DD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4 ms</w:t>
            </w:r>
          </w:p>
        </w:tc>
        <w:tc>
          <w:tcPr>
            <w:tcW w:w="2835" w:type="dxa"/>
          </w:tcPr>
          <w:p w14:paraId="60F0CE9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19 条策略</w:t>
            </w:r>
          </w:p>
        </w:tc>
      </w:tr>
      <w:tr w14:paraId="4FC5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1AF5408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/api/ops/kpi</w:t>
            </w:r>
          </w:p>
        </w:tc>
        <w:tc>
          <w:tcPr>
            <w:tcW w:w="1134" w:type="dxa"/>
          </w:tcPr>
          <w:p w14:paraId="4EA377F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6B1F92A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85 ms</w:t>
            </w:r>
          </w:p>
        </w:tc>
        <w:tc>
          <w:tcPr>
            <w:tcW w:w="2835" w:type="dxa"/>
          </w:tcPr>
          <w:p w14:paraId="6C4F7E2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MTTD / MTTR / 工单与误报率键</w:t>
            </w:r>
          </w:p>
        </w:tc>
      </w:tr>
      <w:tr w14:paraId="48F9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21E062E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/api/ops/competition-metrics</w:t>
            </w:r>
          </w:p>
        </w:tc>
        <w:tc>
          <w:tcPr>
            <w:tcW w:w="1134" w:type="dxa"/>
          </w:tcPr>
          <w:p w14:paraId="3CDC32A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500</w:t>
            </w:r>
          </w:p>
        </w:tc>
        <w:tc>
          <w:tcPr>
            <w:tcW w:w="1417" w:type="dxa"/>
          </w:tcPr>
          <w:p w14:paraId="6DCCD30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13.7 s</w:t>
            </w:r>
          </w:p>
        </w:tc>
        <w:tc>
          <w:tcPr>
            <w:tcW w:w="2835" w:type="dxa"/>
          </w:tcPr>
          <w:p w14:paraId="639511D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缺陷：内部超时</w:t>
            </w:r>
          </w:p>
        </w:tc>
      </w:tr>
      <w:tr w14:paraId="2C69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4DF0ED4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/api/self-play/catalog</w:t>
            </w:r>
          </w:p>
        </w:tc>
        <w:tc>
          <w:tcPr>
            <w:tcW w:w="1134" w:type="dxa"/>
          </w:tcPr>
          <w:p w14:paraId="5C97BC2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01D689D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22 ms</w:t>
            </w:r>
          </w:p>
        </w:tc>
        <w:tc>
          <w:tcPr>
            <w:tcW w:w="2835" w:type="dxa"/>
          </w:tcPr>
          <w:p w14:paraId="604C6C1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课程与 MITRE 统计</w:t>
            </w:r>
          </w:p>
        </w:tc>
      </w:tr>
      <w:tr w14:paraId="77A6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0DDBDD6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/api/edr/stats</w:t>
            </w:r>
          </w:p>
        </w:tc>
        <w:tc>
          <w:tcPr>
            <w:tcW w:w="1134" w:type="dxa"/>
          </w:tcPr>
          <w:p w14:paraId="4D823FC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200</w:t>
            </w:r>
          </w:p>
        </w:tc>
        <w:tc>
          <w:tcPr>
            <w:tcW w:w="1417" w:type="dxa"/>
          </w:tcPr>
          <w:p w14:paraId="7BAE75D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135 ms</w:t>
            </w:r>
          </w:p>
        </w:tc>
        <w:tc>
          <w:tcPr>
            <w:tcW w:w="2835" w:type="dxa"/>
          </w:tcPr>
          <w:p w14:paraId="5ED1540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sysmon / winevent / correlations</w:t>
            </w:r>
          </w:p>
        </w:tc>
      </w:tr>
    </w:tbl>
    <w:p w14:paraId="2150AFDB">
      <w:pPr>
        <w:spacing w:after="80"/>
      </w:pPr>
    </w:p>
    <w:p w14:paraId="36AAF3F0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6-2 登录后探活。唯一 500 为 /api/ops/competition-metrics，独立复测仍为 500、约 14.6 秒。</w:t>
      </w:r>
    </w:p>
    <w:p w14:paraId="06DA9EE9">
      <w:pPr>
        <w:spacing w:before="360" w:after="240" w:line="360" w:lineRule="auto"/>
        <w:ind w:firstLine="0" w:firstLineChars="0"/>
        <w:jc w:val="left"/>
        <w:outlineLvl w:val="0"/>
      </w:pPr>
      <w:bookmarkStart w:id="7" w:name="_Toc18979"/>
      <w:r>
        <w:rPr>
          <w:rFonts w:ascii="Times New Roman" w:hAnsi="Times New Roman" w:eastAsia="黑体" w:cs="Times New Roman"/>
          <w:b/>
          <w:color w:val="000000"/>
          <w:sz w:val="32"/>
        </w:rPr>
        <w:t>七、功能测试（对照设计文档表 13-2）</w:t>
      </w:r>
      <w:bookmarkEnd w:id="7"/>
    </w:p>
    <w:p w14:paraId="2D9D3842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表 13-2 给出九个关键场景。本次以自动化为主、运行时截图为辅。端到端 Kafka Topic 截图受 Kafka UI 登录门限制，未做暴力登录，故该条记为「单元层已覆盖、运行时截图待补」。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984"/>
        <w:gridCol w:w="3402"/>
        <w:gridCol w:w="1247"/>
      </w:tblGrid>
      <w:tr w14:paraId="1B62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2F3"/>
          </w:tcPr>
          <w:p w14:paraId="4DCFA67B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场景</w:t>
            </w:r>
          </w:p>
        </w:tc>
        <w:tc>
          <w:tcPr>
            <w:tcW w:w="1984" w:type="dxa"/>
            <w:shd w:val="clear" w:color="auto" w:fill="D9E2F3"/>
          </w:tcPr>
          <w:p w14:paraId="3C283C21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期望</w:t>
            </w:r>
          </w:p>
        </w:tc>
        <w:tc>
          <w:tcPr>
            <w:tcW w:w="3402" w:type="dxa"/>
            <w:shd w:val="clear" w:color="auto" w:fill="D9E2F3"/>
          </w:tcPr>
          <w:p w14:paraId="066ED306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证据</w:t>
            </w:r>
          </w:p>
        </w:tc>
        <w:tc>
          <w:tcPr>
            <w:tcW w:w="1247" w:type="dxa"/>
            <w:shd w:val="clear" w:color="auto" w:fill="D9E2F3"/>
          </w:tcPr>
          <w:p w14:paraId="3DF71FFF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结论</w:t>
            </w:r>
          </w:p>
        </w:tc>
      </w:tr>
      <w:tr w14:paraId="37C3D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D9FDAD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非法 JSON</w:t>
            </w:r>
          </w:p>
        </w:tc>
        <w:tc>
          <w:tcPr>
            <w:tcW w:w="1984" w:type="dxa"/>
          </w:tcPr>
          <w:p w14:paraId="69124F3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进入 rejected/DLQ</w:t>
            </w:r>
          </w:p>
        </w:tc>
        <w:tc>
          <w:tcPr>
            <w:tcW w:w="3402" w:type="dxa"/>
          </w:tcPr>
          <w:p w14:paraId="6D2657E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schema 校验 + dlq_sent 统计用例通过</w:t>
            </w:r>
          </w:p>
        </w:tc>
        <w:tc>
          <w:tcPr>
            <w:tcW w:w="1247" w:type="dxa"/>
          </w:tcPr>
          <w:p w14:paraId="2624AB7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76D7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29EF29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错误 API Key</w:t>
            </w:r>
          </w:p>
        </w:tc>
        <w:tc>
          <w:tcPr>
            <w:tcW w:w="1984" w:type="dxa"/>
          </w:tcPr>
          <w:p w14:paraId="707F83E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Job1 拒绝</w:t>
            </w:r>
          </w:p>
        </w:tc>
        <w:tc>
          <w:tcPr>
            <w:tcW w:w="3402" w:type="dxa"/>
          </w:tcPr>
          <w:p w14:paraId="498E13D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HTTP 接入网关鉴权、SourceRegistry 用例通过</w:t>
            </w:r>
          </w:p>
        </w:tc>
        <w:tc>
          <w:tcPr>
            <w:tcW w:w="1247" w:type="dxa"/>
          </w:tcPr>
          <w:p w14:paraId="5985687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0EAB4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57847C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重复事件</w:t>
            </w:r>
          </w:p>
        </w:tc>
        <w:tc>
          <w:tcPr>
            <w:tcW w:w="1984" w:type="dxa"/>
          </w:tcPr>
          <w:p w14:paraId="12AC817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去重后仅保留有效事件</w:t>
            </w:r>
          </w:p>
        </w:tc>
        <w:tc>
          <w:tcPr>
            <w:tcW w:w="3402" w:type="dxa"/>
          </w:tcPr>
          <w:p w14:paraId="489E2CB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event_id 幂等；响应 60s 冷却用例通过</w:t>
            </w:r>
          </w:p>
        </w:tc>
        <w:tc>
          <w:tcPr>
            <w:tcW w:w="1247" w:type="dxa"/>
          </w:tcPr>
          <w:p w14:paraId="47E5665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2466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3F11B2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高危事件</w:t>
            </w:r>
          </w:p>
        </w:tc>
        <w:tc>
          <w:tcPr>
            <w:tcW w:w="1984" w:type="dxa"/>
          </w:tcPr>
          <w:p w14:paraId="643C0ED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alerts + 审计 + 响应</w:t>
            </w:r>
          </w:p>
        </w:tc>
        <w:tc>
          <w:tcPr>
            <w:tcW w:w="3402" w:type="dxa"/>
          </w:tcPr>
          <w:p w14:paraId="3F0F6DC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ingest/case 自动化（除 sqlite 锁 1 例）</w:t>
            </w:r>
          </w:p>
        </w:tc>
        <w:tc>
          <w:tcPr>
            <w:tcW w:w="1247" w:type="dxa"/>
          </w:tcPr>
          <w:p w14:paraId="7D0FFF8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6334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378D68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CEP 攻击链</w:t>
            </w:r>
          </w:p>
        </w:tc>
        <w:tc>
          <w:tcPr>
            <w:tcW w:w="1984" w:type="dxa"/>
          </w:tcPr>
          <w:p w14:paraId="6D54375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命中对应攻击链</w:t>
            </w:r>
          </w:p>
        </w:tc>
        <w:tc>
          <w:tcPr>
            <w:tcW w:w="3402" w:type="dxa"/>
          </w:tcPr>
          <w:p w14:paraId="79F65B6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test_correlation_killchain 全过</w:t>
            </w:r>
          </w:p>
        </w:tc>
        <w:tc>
          <w:tcPr>
            <w:tcW w:w="1247" w:type="dxa"/>
          </w:tcPr>
          <w:p w14:paraId="6BB37F1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23AD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8BF2BB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幻觉工具</w:t>
            </w:r>
          </w:p>
        </w:tc>
        <w:tc>
          <w:tcPr>
            <w:tcW w:w="1984" w:type="dxa"/>
          </w:tcPr>
          <w:p w14:paraId="1721290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Registry 拒绝</w:t>
            </w:r>
          </w:p>
        </w:tc>
        <w:tc>
          <w:tcPr>
            <w:tcW w:w="3402" w:type="dxa"/>
          </w:tcPr>
          <w:p w14:paraId="09B681F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test_mcp_guard 拒绝未注册工具，通过</w:t>
            </w:r>
          </w:p>
        </w:tc>
        <w:tc>
          <w:tcPr>
            <w:tcW w:w="1247" w:type="dxa"/>
          </w:tcPr>
          <w:p w14:paraId="3111D30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4725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1D9CD0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越权调用</w:t>
            </w:r>
          </w:p>
        </w:tc>
        <w:tc>
          <w:tcPr>
            <w:tcW w:w="1984" w:type="dxa"/>
          </w:tcPr>
          <w:p w14:paraId="7D0F87A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拒绝或转审批</w:t>
            </w:r>
          </w:p>
        </w:tc>
        <w:tc>
          <w:tcPr>
            <w:tcW w:w="3402" w:type="dxa"/>
          </w:tcPr>
          <w:p w14:paraId="7EE9F2C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containment / approval / control_plane 通过</w:t>
            </w:r>
          </w:p>
        </w:tc>
        <w:tc>
          <w:tcPr>
            <w:tcW w:w="1247" w:type="dxa"/>
          </w:tcPr>
          <w:p w14:paraId="54CC9FF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484A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4E35D0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w="1984" w:type="dxa"/>
          </w:tcPr>
          <w:p w14:paraId="1AD904B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Grounding/CAD 提风险或熔断</w:t>
            </w:r>
          </w:p>
        </w:tc>
        <w:tc>
          <w:tcPr>
            <w:tcW w:w="3402" w:type="dxa"/>
          </w:tcPr>
          <w:p w14:paraId="6225BD9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hallucination_slo / cad / veto 通过</w:t>
            </w:r>
          </w:p>
        </w:tc>
        <w:tc>
          <w:tcPr>
            <w:tcW w:w="1247" w:type="dxa"/>
          </w:tcPr>
          <w:p w14:paraId="24B6D82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  <w:tr w14:paraId="703F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70D2CA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响应回滚</w:t>
            </w:r>
          </w:p>
        </w:tc>
        <w:tc>
          <w:tcPr>
            <w:tcW w:w="1984" w:type="dxa"/>
          </w:tcPr>
          <w:p w14:paraId="546473C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rollback_token 反向处理</w:t>
            </w:r>
          </w:p>
        </w:tc>
        <w:tc>
          <w:tcPr>
            <w:tcW w:w="3402" w:type="dxa"/>
          </w:tcPr>
          <w:p w14:paraId="74CC5E4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rollback_idempotent 等全过</w:t>
            </w:r>
          </w:p>
        </w:tc>
        <w:tc>
          <w:tcPr>
            <w:tcW w:w="1247" w:type="dxa"/>
          </w:tcPr>
          <w:p w14:paraId="3A7FD5D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已覆盖</w:t>
            </w:r>
          </w:p>
        </w:tc>
      </w:tr>
    </w:tbl>
    <w:p w14:paraId="11E8A8FD">
      <w:pPr>
        <w:spacing w:after="80"/>
      </w:pPr>
    </w:p>
    <w:p w14:paraId="117A6DD1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7-1 对照设计文档表 13-2</w:t>
      </w:r>
    </w:p>
    <w:p w14:paraId="213C3397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重复事件机制已从 Redis 60 秒窗口演进为 PostgreSQL event_id 唯一索引兜底，自动化断言随之更新。报告按现行机制表述，避免沿用过时的 Redis 去重口径。</w:t>
      </w:r>
    </w:p>
    <w:p w14:paraId="0765B020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7.1 日志中心（登录态）</w:t>
      </w:r>
    </w:p>
    <w:p w14:paraId="07DDEF4C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未登录时日志页提示「认证已过期，请重新登录」，计数为 0。登录后 SSE 显示「实时连接」，当前视图高危 100 条，事件为 203.0.113.0/24 至 192.168.65.254 的 SYN flood（DDoS_TRAFFIC），审计列标记为规则命中。</w:t>
      </w:r>
    </w:p>
    <w:p w14:paraId="46B0556D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2022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7-1 登录后日志中心：高危 SYN flood 事件流</w:t>
      </w:r>
    </w:p>
    <w:p w14:paraId="5582FD46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7.2 响应引擎</w:t>
      </w:r>
    </w:p>
    <w:p w14:paraId="784C82EF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登录后响应页提供威胁模拟（C2 回连、数据外泄、暴力破解、端口扫描、恶意软件、DDoS）、手动动作 block_ip（注明经防火墙/WAF ACL）以及回滚令牌输入。未再出现匿名态的认证错误条。</w:t>
      </w:r>
    </w:p>
    <w:p w14:paraId="70DBE949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EDF2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7-2 登录后响应引擎：模拟、执行与回滚入口</w:t>
      </w:r>
    </w:p>
    <w:p w14:paraId="0C214778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7.3 运营闭环</w:t>
      </w:r>
    </w:p>
    <w:p w14:paraId="791E960C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登录后运营中心显示活跃案例 169，告警、事件、案例、工单带计数角标，复盘 31、反馈 1。右侧实时活动为「监听中」。该页证明告警→案例→工单→复盘的运营对象已在库中，而非空壳页面。</w:t>
      </w:r>
    </w:p>
    <w:p w14:paraId="385553A0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E1BA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7-3 登录后运营中心：169 个活跃案例</w:t>
      </w:r>
    </w:p>
    <w:p w14:paraId="0640DDEF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7.4 知识库</w:t>
      </w:r>
    </w:p>
    <w:p w14:paraId="6A744703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登录后知识库显示文档 2186、分块 6031，提供检索、文档管理、断言验证、知识管理、质量评估与 Agent 轨迹入口。该规模与 Hybrid RAG 的设计定位相符。</w:t>
      </w:r>
    </w:p>
    <w:p w14:paraId="5BFA8A28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F36D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7-4 登录后安全知识库</w:t>
      </w:r>
    </w:p>
    <w:p w14:paraId="76D51493">
      <w:pPr>
        <w:spacing w:before="360" w:after="240" w:line="360" w:lineRule="auto"/>
        <w:ind w:firstLine="0" w:firstLineChars="0"/>
        <w:jc w:val="left"/>
        <w:outlineLvl w:val="0"/>
      </w:pPr>
      <w:bookmarkStart w:id="8" w:name="_Toc8355"/>
      <w:r>
        <w:rPr>
          <w:rFonts w:ascii="Times New Roman" w:hAnsi="Times New Roman" w:eastAsia="黑体" w:cs="Times New Roman"/>
          <w:b/>
          <w:color w:val="000000"/>
          <w:sz w:val="32"/>
        </w:rPr>
        <w:t>八、Agent 安全与守卫测试</w:t>
      </w:r>
      <w:bookmarkEnd w:id="8"/>
    </w:p>
    <w:p w14:paraId="260E57FF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设计文档 13.3 要求分别覆盖结构不稳定、工具幻觉、越权、参数非法、超频、危险序列、上下文不匹配与无依据结论，并记录拦截层。理想结果不是所有异常都由同一模块拒绝，而是由职责最匹配的一层处理。</w:t>
      </w:r>
    </w:p>
    <w:p w14:paraId="2EBE4024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1969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C902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8-1 Agent 安全测试按拦截层取证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3969"/>
      </w:tblGrid>
      <w:tr w14:paraId="4A65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35B65FC7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风险</w:t>
            </w:r>
          </w:p>
        </w:tc>
        <w:tc>
          <w:tcPr>
            <w:tcW w:w="2551" w:type="dxa"/>
            <w:shd w:val="clear" w:color="auto" w:fill="D9E2F3"/>
          </w:tcPr>
          <w:p w14:paraId="7B79B31E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期望拦截层</w:t>
            </w:r>
          </w:p>
        </w:tc>
        <w:tc>
          <w:tcPr>
            <w:tcW w:w="3969" w:type="dxa"/>
            <w:shd w:val="clear" w:color="auto" w:fill="D9E2F3"/>
          </w:tcPr>
          <w:p w14:paraId="33B25682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本次自动化</w:t>
            </w:r>
          </w:p>
        </w:tc>
      </w:tr>
      <w:tr w14:paraId="038F7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2B4418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JSON / 参数类型错误</w:t>
            </w:r>
          </w:p>
        </w:tc>
        <w:tc>
          <w:tcPr>
            <w:tcW w:w="2551" w:type="dxa"/>
          </w:tcPr>
          <w:p w14:paraId="1351DD5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Stabilizer</w:t>
            </w:r>
          </w:p>
        </w:tc>
        <w:tc>
          <w:tcPr>
            <w:tcW w:w="3969" w:type="dxa"/>
          </w:tcPr>
          <w:p w14:paraId="09BC036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llm 增强器、安全执行修复回归通过</w:t>
            </w:r>
          </w:p>
        </w:tc>
      </w:tr>
      <w:tr w14:paraId="32BD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E7A817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未注册工具名</w:t>
            </w:r>
          </w:p>
        </w:tc>
        <w:tc>
          <w:tcPr>
            <w:tcW w:w="2551" w:type="dxa"/>
          </w:tcPr>
          <w:p w14:paraId="0807190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MCP Guard Registry</w:t>
            </w:r>
          </w:p>
        </w:tc>
        <w:tc>
          <w:tcPr>
            <w:tcW w:w="3969" w:type="dxa"/>
          </w:tcPr>
          <w:p w14:paraId="54B16EE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test_mcp_guard 拒绝未知工具，通过</w:t>
            </w:r>
          </w:p>
        </w:tc>
      </w:tr>
      <w:tr w14:paraId="383E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482DDF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低权限高风险</w:t>
            </w:r>
          </w:p>
        </w:tc>
        <w:tc>
          <w:tcPr>
            <w:tcW w:w="2551" w:type="dxa"/>
          </w:tcPr>
          <w:p w14:paraId="474B25B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Permission / 审批</w:t>
            </w:r>
          </w:p>
        </w:tc>
        <w:tc>
          <w:tcPr>
            <w:tcW w:w="3969" w:type="dxa"/>
          </w:tcPr>
          <w:p w14:paraId="3FF01EC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approval_tiering、execute_guard 403 通过</w:t>
            </w:r>
          </w:p>
        </w:tc>
      </w:tr>
      <w:tr w14:paraId="3AC4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5ECABB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参数非法 / 注入</w:t>
            </w:r>
          </w:p>
        </w:tc>
        <w:tc>
          <w:tcPr>
            <w:tcW w:w="2551" w:type="dxa"/>
          </w:tcPr>
          <w:p w14:paraId="139A1D5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Validator / SafeExecutor</w:t>
            </w:r>
          </w:p>
        </w:tc>
        <w:tc>
          <w:tcPr>
            <w:tcW w:w="3969" w:type="dxa"/>
          </w:tcPr>
          <w:p w14:paraId="6670422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safe_executor 注入拒绝通过</w:t>
            </w:r>
          </w:p>
        </w:tc>
      </w:tr>
      <w:tr w14:paraId="1103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0DF7D2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调用超频</w:t>
            </w:r>
          </w:p>
        </w:tc>
        <w:tc>
          <w:tcPr>
            <w:tcW w:w="2551" w:type="dxa"/>
          </w:tcPr>
          <w:p w14:paraId="11AC02A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rate_limiter</w:t>
            </w:r>
          </w:p>
        </w:tc>
        <w:tc>
          <w:tcPr>
            <w:tcW w:w="3969" w:type="dxa"/>
          </w:tcPr>
          <w:p w14:paraId="11DDF33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rate_limiter_reserve 通过</w:t>
            </w:r>
          </w:p>
        </w:tc>
      </w:tr>
      <w:tr w14:paraId="6E60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DE8D4E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危险序列</w:t>
            </w:r>
          </w:p>
        </w:tc>
        <w:tc>
          <w:tcPr>
            <w:tcW w:w="2551" w:type="dxa"/>
          </w:tcPr>
          <w:p w14:paraId="7FE4E08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sequence_guard / 行为签名</w:t>
            </w:r>
          </w:p>
        </w:tc>
        <w:tc>
          <w:tcPr>
            <w:tcW w:w="3969" w:type="dxa"/>
          </w:tcPr>
          <w:p w14:paraId="7A97546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tool_behavior_enforce 等 5 文件通过</w:t>
            </w:r>
          </w:p>
        </w:tc>
      </w:tr>
      <w:tr w14:paraId="3BBB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A7C509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无依据结论</w:t>
            </w:r>
          </w:p>
        </w:tc>
        <w:tc>
          <w:tcPr>
            <w:tcW w:w="2551" w:type="dxa"/>
          </w:tcPr>
          <w:p w14:paraId="22A4A7F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Grounding / CAD</w:t>
            </w:r>
          </w:p>
        </w:tc>
        <w:tc>
          <w:tcPr>
            <w:tcW w:w="3969" w:type="dxa"/>
          </w:tcPr>
          <w:p w14:paraId="40F4AEB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hallucination_slo、cad_noevidence 通过</w:t>
            </w:r>
          </w:p>
        </w:tc>
      </w:tr>
      <w:tr w14:paraId="5E2D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67234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组合绕过</w:t>
            </w:r>
          </w:p>
        </w:tc>
        <w:tc>
          <w:tcPr>
            <w:tcW w:w="2551" w:type="dxa"/>
          </w:tcPr>
          <w:p w14:paraId="67C52B3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多层合力</w:t>
            </w:r>
          </w:p>
        </w:tc>
        <w:tc>
          <w:tcPr>
            <w:tcW w:w="3969" w:type="dxa"/>
          </w:tcPr>
          <w:p w14:paraId="0FD4F5D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部分</w:t>
            </w:r>
          </w:p>
        </w:tc>
      </w:tr>
    </w:tbl>
    <w:p w14:paraId="5B3954B8">
      <w:pPr>
        <w:spacing w:after="80"/>
      </w:pPr>
    </w:p>
    <w:p w14:paraId="1C9CAEC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8-1 对照设计文档 13.3</w:t>
      </w:r>
    </w:p>
    <w:p w14:paraId="523E6168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「组合绕过」仍是缺口：工具名合法但参数指向未授权资产、单次合法但连续调用成危险序列、提示词注入改参、RAG 投毒等，目前只有单点用例，尚未系统化成攻击组合套件。守卫桶 111 例全过，说明单点闸门可用，但不能据此声称组合攻击已被穷尽。</w:t>
      </w:r>
    </w:p>
    <w:p w14:paraId="52F783F7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8.1 安全审计测试台</w:t>
      </w:r>
    </w:p>
    <w:p w14:paraId="24D7FA10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前端提供 Audit-LLM + CAD 测试台，可注入 C2、扫描、暴力破解、外泄等 JSON 样本，并切换流水线、CAD、攻击链、工具签名。该页面把「把审计当成产品来测」写进值班台，便于评委现场演示单条事件走四层流水线。</w:t>
      </w:r>
    </w:p>
    <w:p w14:paraId="2E4D00B8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0574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8-2 安全审计测试台</w:t>
      </w:r>
    </w:p>
    <w:p w14:paraId="1272F6B8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8.2 红蓝自博弈</w:t>
      </w:r>
    </w:p>
    <w:p w14:paraId="6351F688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自博弈页可开局 8 回合，默认不把仿真事件写入生产 ingest。设计文档规定 blue_win：recall≥0.7 且 asr≤0.35；red_win：asr≥0.5。自动化 95 例覆盖课程、评分、生命周期与多样性。当次界面指标为 0，因为本轮未在界面点击「开一局」——不把空指标写成已达阈值。</w:t>
      </w:r>
    </w:p>
    <w:p w14:paraId="2D34A670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AC0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8-3 红蓝自博弈控制台（当次未开局，指标为 0）</w:t>
      </w:r>
    </w:p>
    <w:p w14:paraId="3AEB2CE3">
      <w:pPr>
        <w:spacing w:before="360" w:after="240" w:line="360" w:lineRule="auto"/>
        <w:ind w:firstLine="0" w:firstLineChars="0"/>
        <w:jc w:val="left"/>
        <w:outlineLvl w:val="0"/>
      </w:pPr>
      <w:bookmarkStart w:id="9" w:name="_Toc27925"/>
      <w:r>
        <w:rPr>
          <w:rFonts w:ascii="Times New Roman" w:hAnsi="Times New Roman" w:eastAsia="黑体" w:cs="Times New Roman"/>
          <w:b/>
          <w:color w:val="000000"/>
          <w:sz w:val="32"/>
        </w:rPr>
        <w:t>九、前端与人机界面测试</w:t>
      </w:r>
      <w:bookmarkEnd w:id="9"/>
    </w:p>
    <w:p w14:paraId="612065CD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9.1 登录与品牌</w:t>
      </w:r>
    </w:p>
    <w:p w14:paraId="1092DFA7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登录页以「守望」为印鉴式标题，文案为「灯火未熄。每一条日志，都在被守望。」流程条为接入→审计→响应→复盘。注册页文案「自今日起，凡所守望，与君相关。」主页未登录时事件计数为 0；登录后值班台显示 262,677 条已接入事件，已审计 100%，记忆 76，小时均 12,897。</w:t>
      </w:r>
    </w:p>
    <w:p w14:paraId="658C0414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EFD1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9-1 登录页</w:t>
      </w:r>
    </w:p>
    <w:p w14:paraId="4D845F50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70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9-2 登录后首页值班台（262,677 事件）</w:t>
      </w:r>
    </w:p>
    <w:p w14:paraId="51A1EC1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9.2 系统监控</w:t>
      </w:r>
    </w:p>
    <w:p w14:paraId="275D5E11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监控页在登录后将 pgvector、Redis、LLM 标为 NOMINAL，待处理队列 0，已分析与安全事件均为 262,677，记忆树节点 280,207，Redis 键 3,204。状态点为 LIVE。该页同时展示多 Agent 审查接力（Decomposer → Builder → Exec → Reviewer）。</w:t>
      </w:r>
    </w:p>
    <w:p w14:paraId="0A38EFDF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DA04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9-3 登录后系统监控</w:t>
      </w:r>
    </w:p>
    <w:p w14:paraId="02E96C92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9.3 路由可达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4252"/>
      </w:tblGrid>
      <w:tr w14:paraId="2649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6DCF5031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w="2268" w:type="dxa"/>
            <w:shd w:val="clear" w:color="auto" w:fill="D9E2F3"/>
          </w:tcPr>
          <w:p w14:paraId="37AB725C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w="4252" w:type="dxa"/>
            <w:shd w:val="clear" w:color="auto" w:fill="D9E2F3"/>
          </w:tcPr>
          <w:p w14:paraId="7FBB591F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登录态要点</w:t>
            </w:r>
          </w:p>
        </w:tc>
      </w:tr>
      <w:tr w14:paraId="7828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194331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/login</w:t>
            </w:r>
          </w:p>
        </w:tc>
        <w:tc>
          <w:tcPr>
            <w:tcW w:w="2268" w:type="dxa"/>
          </w:tcPr>
          <w:p w14:paraId="4244FDB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登录</w:t>
            </w:r>
          </w:p>
        </w:tc>
        <w:tc>
          <w:tcPr>
            <w:tcW w:w="4252" w:type="dxa"/>
          </w:tcPr>
          <w:p w14:paraId="0707876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守望印鉴、进入按钮</w:t>
            </w:r>
          </w:p>
        </w:tc>
      </w:tr>
      <w:tr w14:paraId="7469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A2EB5A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/register</w:t>
            </w:r>
          </w:p>
        </w:tc>
        <w:tc>
          <w:tcPr>
            <w:tcW w:w="2268" w:type="dxa"/>
          </w:tcPr>
          <w:p w14:paraId="0E34878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注册</w:t>
            </w:r>
          </w:p>
        </w:tc>
        <w:tc>
          <w:tcPr>
            <w:tcW w:w="4252" w:type="dxa"/>
          </w:tcPr>
          <w:p w14:paraId="226354D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自今日起，凡所守望，与君相关</w:t>
            </w:r>
          </w:p>
        </w:tc>
      </w:tr>
      <w:tr w14:paraId="3F04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874CF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</w:t>
            </w:r>
          </w:p>
        </w:tc>
        <w:tc>
          <w:tcPr>
            <w:tcW w:w="2268" w:type="dxa"/>
          </w:tcPr>
          <w:p w14:paraId="56344FD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首页</w:t>
            </w:r>
          </w:p>
        </w:tc>
        <w:tc>
          <w:tcPr>
            <w:tcW w:w="4252" w:type="dxa"/>
          </w:tcPr>
          <w:p w14:paraId="24F25B3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登录后 262,677 events</w:t>
            </w:r>
          </w:p>
        </w:tc>
      </w:tr>
      <w:tr w14:paraId="4474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940C77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/logs</w:t>
            </w:r>
          </w:p>
        </w:tc>
        <w:tc>
          <w:tcPr>
            <w:tcW w:w="2268" w:type="dxa"/>
          </w:tcPr>
          <w:p w14:paraId="4522F20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日志中心</w:t>
            </w:r>
          </w:p>
        </w:tc>
        <w:tc>
          <w:tcPr>
            <w:tcW w:w="4252" w:type="dxa"/>
          </w:tcPr>
          <w:p w14:paraId="47F2D47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实时连接，高危 SYN flood</w:t>
            </w:r>
          </w:p>
        </w:tc>
      </w:tr>
      <w:tr w14:paraId="1FD1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3F89C3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/monitor</w:t>
            </w:r>
          </w:p>
        </w:tc>
        <w:tc>
          <w:tcPr>
            <w:tcW w:w="2268" w:type="dxa"/>
          </w:tcPr>
          <w:p w14:paraId="35D0BD8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系统监控</w:t>
            </w:r>
          </w:p>
        </w:tc>
        <w:tc>
          <w:tcPr>
            <w:tcW w:w="4252" w:type="dxa"/>
          </w:tcPr>
          <w:p w14:paraId="2CB53F1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三组件 NOMINAL</w:t>
            </w:r>
          </w:p>
        </w:tc>
      </w:tr>
      <w:tr w14:paraId="042B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C923D9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/security-audit</w:t>
            </w:r>
          </w:p>
        </w:tc>
        <w:tc>
          <w:tcPr>
            <w:tcW w:w="2268" w:type="dxa"/>
          </w:tcPr>
          <w:p w14:paraId="40FD51A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安全审计</w:t>
            </w:r>
          </w:p>
        </w:tc>
        <w:tc>
          <w:tcPr>
            <w:tcW w:w="4252" w:type="dxa"/>
          </w:tcPr>
          <w:p w14:paraId="6868E3B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JSON 注入与 CAD 标签</w:t>
            </w:r>
          </w:p>
        </w:tc>
      </w:tr>
      <w:tr w14:paraId="3946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AE3755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/response</w:t>
            </w:r>
          </w:p>
        </w:tc>
        <w:tc>
          <w:tcPr>
            <w:tcW w:w="2268" w:type="dxa"/>
          </w:tcPr>
          <w:p w14:paraId="59279AD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响应引擎</w:t>
            </w:r>
          </w:p>
        </w:tc>
        <w:tc>
          <w:tcPr>
            <w:tcW w:w="4252" w:type="dxa"/>
          </w:tcPr>
          <w:p w14:paraId="2697B75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模拟 / 审批 / 回滚</w:t>
            </w:r>
          </w:p>
        </w:tc>
      </w:tr>
      <w:tr w14:paraId="11C4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61D7C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/operations</w:t>
            </w:r>
          </w:p>
        </w:tc>
        <w:tc>
          <w:tcPr>
            <w:tcW w:w="2268" w:type="dxa"/>
          </w:tcPr>
          <w:p w14:paraId="54E70AE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运营中心</w:t>
            </w:r>
          </w:p>
        </w:tc>
        <w:tc>
          <w:tcPr>
            <w:tcW w:w="4252" w:type="dxa"/>
          </w:tcPr>
          <w:p w14:paraId="2CD43DB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169 活跃案例</w:t>
            </w:r>
          </w:p>
        </w:tc>
      </w:tr>
      <w:tr w14:paraId="698D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BE51A7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/self-play</w:t>
            </w:r>
          </w:p>
        </w:tc>
        <w:tc>
          <w:tcPr>
            <w:tcW w:w="2268" w:type="dxa"/>
          </w:tcPr>
          <w:p w14:paraId="6C2DF12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红蓝自博弈</w:t>
            </w:r>
          </w:p>
        </w:tc>
        <w:tc>
          <w:tcPr>
            <w:tcW w:w="4252" w:type="dxa"/>
          </w:tcPr>
          <w:p w14:paraId="4820041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8 回合、不改生产规则</w:t>
            </w:r>
          </w:p>
        </w:tc>
      </w:tr>
      <w:tr w14:paraId="60A4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32EF1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/rag</w:t>
            </w:r>
          </w:p>
        </w:tc>
        <w:tc>
          <w:tcPr>
            <w:tcW w:w="2268" w:type="dxa"/>
          </w:tcPr>
          <w:p w14:paraId="2ECB169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知识库</w:t>
            </w:r>
          </w:p>
        </w:tc>
        <w:tc>
          <w:tcPr>
            <w:tcW w:w="4252" w:type="dxa"/>
          </w:tcPr>
          <w:p w14:paraId="769650F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2186 文档 / 6031 分块</w:t>
            </w:r>
          </w:p>
        </w:tc>
      </w:tr>
      <w:tr w14:paraId="6A780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62FF7D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/traffic 等感知</w:t>
            </w:r>
          </w:p>
        </w:tc>
        <w:tc>
          <w:tcPr>
            <w:tcW w:w="2268" w:type="dxa"/>
          </w:tcPr>
          <w:p w14:paraId="79B5848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流量/加密/情报/沙箱/终端/总览</w:t>
            </w:r>
          </w:p>
        </w:tc>
        <w:tc>
          <w:tcPr>
            <w:tcW w:w="4252" w:type="dxa"/>
          </w:tcPr>
          <w:p w14:paraId="1E6228D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结构完整，部分为空数据态</w:t>
            </w:r>
          </w:p>
        </w:tc>
      </w:tr>
    </w:tbl>
    <w:p w14:paraId="5E09CAD1">
      <w:pPr>
        <w:spacing w:after="80"/>
      </w:pPr>
    </w:p>
    <w:p w14:paraId="5C07AE0D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9-1 前端路由</w:t>
      </w:r>
    </w:p>
    <w:p w14:paraId="2E4ABD40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9.4 移动视口</w:t>
      </w:r>
    </w:p>
    <w:p w14:paraId="726D168A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登录页与首页在 390×844 视口可渲染。首页移动端保留「守望」与「进入值班台」。导航在窄屏收为目录 overlay（既有实现），本次未做手势级交互录屏。</w:t>
      </w:r>
    </w:p>
    <w:p w14:paraId="7A431C1A">
      <w:pPr>
        <w:spacing w:before="160" w:after="40"/>
        <w:ind w:firstLine="0"/>
        <w:jc w:val="center"/>
      </w:pPr>
      <w:r>
        <w:drawing>
          <wp:inline distT="0" distB="0" distL="114300" distR="114300">
            <wp:extent cx="2560320" cy="5540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ED2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9-4 登录页移动视口</w:t>
      </w:r>
    </w:p>
    <w:p w14:paraId="25F2D8D4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9.5 静态质量门</w:t>
      </w:r>
    </w:p>
    <w:p w14:paraId="77628677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在 frontend/ 执行静态检查：TypeScript 0 错误；oxlint 0 错误、45 条 warning（多为副作用钩子内状态更新与渲染期时间戳/随机数）。warning 不阻断构建，列为后续重构项。</w:t>
      </w:r>
    </w:p>
    <w:p w14:paraId="2DB8E403">
      <w:pPr>
        <w:spacing w:before="360" w:after="240" w:line="360" w:lineRule="auto"/>
        <w:ind w:firstLine="0" w:firstLineChars="0"/>
        <w:jc w:val="left"/>
        <w:outlineLvl w:val="0"/>
      </w:pPr>
      <w:bookmarkStart w:id="10" w:name="_Toc19868"/>
      <w:r>
        <w:rPr>
          <w:rFonts w:ascii="Times New Roman" w:hAnsi="Times New Roman" w:eastAsia="黑体" w:cs="Times New Roman"/>
          <w:b/>
          <w:color w:val="000000"/>
          <w:sz w:val="32"/>
        </w:rPr>
        <w:t>十、可观测性与部署验证</w:t>
      </w:r>
      <w:bookmarkEnd w:id="10"/>
    </w:p>
    <w:p w14:paraId="71AEBBB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10.1 Jaeger</w:t>
      </w:r>
    </w:p>
    <w:p w14:paraId="5B563901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Jaeger UI 在本机回环 16686 端口免登录可达，服务下拉框可见 3 个 service。证明 OTel 采集链路已接通。本次未强制检索错误 trace，以免把空查询写成「无故障」。</w:t>
      </w:r>
    </w:p>
    <w:p w14:paraId="75B0ADAE">
      <w:pPr>
        <w:spacing w:before="160" w:after="40"/>
        <w:ind w:firstLine="0"/>
        <w:jc w:val="center"/>
      </w:pPr>
      <w:r>
        <w:drawing>
          <wp:inline distT="0" distB="0" distL="114300" distR="114300">
            <wp:extent cx="5120640" cy="3200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8B14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图 10-1 Jaeger UI 可达</w:t>
      </w:r>
    </w:p>
    <w:p w14:paraId="2347079C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10.2 Flink Dashboard 鉴权</w:t>
      </w:r>
    </w:p>
    <w:p w14:paraId="6267BE62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设计上将 JobManager REST 不直接映射宿主，外部经 frontend:3002 做 Basic Auth 反代。独立请求本机 3002 端口返回 401，响应头含 Basic realm=SOC Flink Dashboard。该结果符合「管理面不裸奔」的部署说明。</w:t>
      </w:r>
    </w:p>
    <w:p w14:paraId="64809E60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需要更正一处证据：早期有截图误取 JobManager 的 Prometheus 文本端口 9250，内容为 flink_jobmanager_job_uptime 等指标行，并非 Web UI。9250 文本中可以读到三个作业名 LogValidationJob、AnomalyDetectionJob、SigmaThresholdAggregationJob，以及 failedCheckpoints=0，可侧面证明作业仍在，但不能代替 Dashboard 截图。正式引用以 3002 的 401 为准。</w:t>
      </w:r>
    </w:p>
    <w:p w14:paraId="6E84515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10.3 Kafka UI</w:t>
      </w:r>
    </w:p>
    <w:p w14:paraId="1DB1427B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Kafka UI 发布在全网卡 18082 端口且要求登录。它是少数绑定全部网卡的管理界面，其余管理口绑本机回环。本次按约束不尝试口令。建议参赛演示前改为回环或继续经反代。</w:t>
      </w:r>
    </w:p>
    <w:p w14:paraId="06338A9E">
      <w:pPr>
        <w:spacing w:before="360" w:after="240" w:line="360" w:lineRule="auto"/>
        <w:ind w:firstLine="0" w:firstLineChars="0"/>
        <w:jc w:val="left"/>
        <w:outlineLvl w:val="0"/>
      </w:pPr>
      <w:bookmarkStart w:id="11" w:name="_Toc31078"/>
      <w:r>
        <w:rPr>
          <w:rFonts w:ascii="Times New Roman" w:hAnsi="Times New Roman" w:eastAsia="黑体" w:cs="Times New Roman"/>
          <w:b/>
          <w:color w:val="000000"/>
          <w:sz w:val="32"/>
        </w:rPr>
        <w:t>十一、缺陷与风险分析</w:t>
      </w:r>
      <w:bookmarkEnd w:id="11"/>
    </w:p>
    <w:p w14:paraId="4F503D72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11.1 缺陷清单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020"/>
        <w:gridCol w:w="4819"/>
        <w:gridCol w:w="1587"/>
      </w:tblGrid>
      <w:tr w14:paraId="0FFB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35575F5C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编号</w:t>
            </w:r>
          </w:p>
        </w:tc>
        <w:tc>
          <w:tcPr>
            <w:tcW w:w="1020" w:type="dxa"/>
            <w:shd w:val="clear" w:color="auto" w:fill="D9E2F3"/>
          </w:tcPr>
          <w:p w14:paraId="3F6A79D4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4819" w:type="dxa"/>
            <w:shd w:val="clear" w:color="auto" w:fill="D9E2F3"/>
          </w:tcPr>
          <w:p w14:paraId="273AFF94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描述</w:t>
            </w:r>
          </w:p>
        </w:tc>
        <w:tc>
          <w:tcPr>
            <w:tcW w:w="1587" w:type="dxa"/>
            <w:shd w:val="clear" w:color="auto" w:fill="D9E2F3"/>
          </w:tcPr>
          <w:p w14:paraId="48F4D1F1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状态</w:t>
            </w:r>
          </w:p>
        </w:tc>
      </w:tr>
      <w:tr w14:paraId="20DB9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107E13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DEF-01</w:t>
            </w:r>
          </w:p>
        </w:tc>
        <w:tc>
          <w:tcPr>
            <w:tcW w:w="1020" w:type="dxa"/>
          </w:tcPr>
          <w:p w14:paraId="5728D2A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中</w:t>
            </w:r>
          </w:p>
        </w:tc>
        <w:tc>
          <w:tcPr>
            <w:tcW w:w="4819" w:type="dxa"/>
          </w:tcPr>
          <w:p w14:paraId="7E75EA7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GET /api/ops/competition-metrics 登录后 500，耗时约 14 秒</w:t>
            </w:r>
          </w:p>
        </w:tc>
        <w:tc>
          <w:tcPr>
            <w:tcW w:w="1587" w:type="dxa"/>
          </w:tcPr>
          <w:p w14:paraId="028A325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已复现</w:t>
            </w:r>
          </w:p>
        </w:tc>
      </w:tr>
      <w:tr w14:paraId="1A7F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4ACC7D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DEF-02</w:t>
            </w:r>
          </w:p>
        </w:tc>
        <w:tc>
          <w:tcPr>
            <w:tcW w:w="1020" w:type="dxa"/>
          </w:tcPr>
          <w:p w14:paraId="168DA4C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中</w:t>
            </w:r>
          </w:p>
        </w:tc>
        <w:tc>
          <w:tcPr>
            <w:tcW w:w="4819" w:type="dxa"/>
          </w:tcPr>
          <w:p w14:paraId="1C38A52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audit_single.py 内联硬编码 system prompt，完整性测试失败</w:t>
            </w:r>
          </w:p>
        </w:tc>
        <w:tc>
          <w:tcPr>
            <w:tcW w:w="1587" w:type="dxa"/>
          </w:tcPr>
          <w:p w14:paraId="0C32247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真实代码</w:t>
            </w:r>
          </w:p>
        </w:tc>
      </w:tr>
      <w:tr w14:paraId="7F76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C6133E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DEF-03</w:t>
            </w:r>
          </w:p>
        </w:tc>
        <w:tc>
          <w:tcPr>
            <w:tcW w:w="1020" w:type="dxa"/>
          </w:tcPr>
          <w:p w14:paraId="1F382FB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低</w:t>
            </w:r>
          </w:p>
        </w:tc>
        <w:tc>
          <w:tcPr>
            <w:tcW w:w="4819" w:type="dxa"/>
          </w:tcPr>
          <w:p w14:paraId="7C4DBF4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policy_store 返回 YAML 嵌套字段，用例断言扁平 min_confidence</w:t>
            </w:r>
          </w:p>
        </w:tc>
        <w:tc>
          <w:tcPr>
            <w:tcW w:w="1587" w:type="dxa"/>
          </w:tcPr>
          <w:p w14:paraId="15235A5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契约不一致</w:t>
            </w:r>
          </w:p>
        </w:tc>
      </w:tr>
      <w:tr w14:paraId="55DE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83AA23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DEF-04</w:t>
            </w:r>
          </w:p>
        </w:tc>
        <w:tc>
          <w:tcPr>
            <w:tcW w:w="1020" w:type="dxa"/>
          </w:tcPr>
          <w:p w14:paraId="1D7F50C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低</w:t>
            </w:r>
          </w:p>
        </w:tc>
        <w:tc>
          <w:tcPr>
            <w:tcW w:w="4819" w:type="dxa"/>
          </w:tcPr>
          <w:p w14:paraId="0AA111E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case_manager 无条件调用 pg 方言锁，sqlite 单测事务失败</w:t>
            </w:r>
          </w:p>
        </w:tc>
        <w:tc>
          <w:tcPr>
            <w:tcW w:w="1587" w:type="dxa"/>
          </w:tcPr>
          <w:p w14:paraId="01645F3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方言</w:t>
            </w:r>
          </w:p>
        </w:tc>
      </w:tr>
      <w:tr w14:paraId="2DC3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6A9018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DEF-05</w:t>
            </w:r>
          </w:p>
        </w:tc>
        <w:tc>
          <w:tcPr>
            <w:tcW w:w="1020" w:type="dxa"/>
          </w:tcPr>
          <w:p w14:paraId="61C1553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低</w:t>
            </w:r>
          </w:p>
        </w:tc>
        <w:tc>
          <w:tcPr>
            <w:tcW w:w="4819" w:type="dxa"/>
          </w:tcPr>
          <w:p w14:paraId="49B9CB7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根 env 容器路径污染本机 pytest，导致 10 例分类/策略失败</w:t>
            </w:r>
          </w:p>
        </w:tc>
        <w:tc>
          <w:tcPr>
            <w:tcW w:w="1587" w:type="dxa"/>
          </w:tcPr>
          <w:p w14:paraId="5175808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环境</w:t>
            </w:r>
          </w:p>
        </w:tc>
      </w:tr>
      <w:tr w14:paraId="0008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B33FB4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DEF-06</w:t>
            </w:r>
          </w:p>
        </w:tc>
        <w:tc>
          <w:tcPr>
            <w:tcW w:w="1020" w:type="dxa"/>
          </w:tcPr>
          <w:p w14:paraId="75274AE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低</w:t>
            </w:r>
          </w:p>
        </w:tc>
        <w:tc>
          <w:tcPr>
            <w:tcW w:w="4819" w:type="dxa"/>
          </w:tcPr>
          <w:p w14:paraId="19BF858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两例全量顺序失败、单独通过（事件循环 / 计数器）</w:t>
            </w:r>
          </w:p>
        </w:tc>
        <w:tc>
          <w:tcPr>
            <w:tcW w:w="1587" w:type="dxa"/>
          </w:tcPr>
          <w:p w14:paraId="05E59F7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隔离</w:t>
            </w:r>
          </w:p>
        </w:tc>
      </w:tr>
      <w:tr w14:paraId="0F49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05DC73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DEF-07</w:t>
            </w:r>
          </w:p>
        </w:tc>
        <w:tc>
          <w:tcPr>
            <w:tcW w:w="1020" w:type="dxa"/>
          </w:tcPr>
          <w:p w14:paraId="5764DF5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w="4819" w:type="dxa"/>
          </w:tcPr>
          <w:p w14:paraId="0D50C9A1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Kafka UI 绑定全网卡 18082</w:t>
            </w:r>
          </w:p>
        </w:tc>
        <w:tc>
          <w:tcPr>
            <w:tcW w:w="1587" w:type="dxa"/>
          </w:tcPr>
          <w:p w14:paraId="5E14376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部署面</w:t>
            </w:r>
          </w:p>
        </w:tc>
      </w:tr>
    </w:tbl>
    <w:p w14:paraId="0AA1CD3B">
      <w:pPr>
        <w:spacing w:after="80"/>
      </w:pPr>
    </w:p>
    <w:p w14:paraId="616DF64A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11-1 缺陷与风险</w:t>
      </w:r>
    </w:p>
    <w:p w14:paraId="654C1098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11.2 风险说明</w:t>
      </w:r>
    </w:p>
    <w:p w14:paraId="3C58A288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DEF-01 影响竞赛指标页，不阻断主值班链路（/api/ops/kpi 为 200）。DEF-02 不影响运行，但破坏「提示词必须进模板目录」的自审计承诺，建议在答辩前迁入 prompts/。DEF-05 只在「本机跑测试、配置却指向容器路径」时出现，Docker 内应能加载 /data 下的策略；本机开发者需在 conftest 弹出这两项环境变量。</w:t>
      </w:r>
    </w:p>
    <w:p w14:paraId="27106136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未做的事项同样列出，以免评委误读：未对 Kafka UI / Grafana 做口令强度测试；未在界面实际点击「开一局」自博弈；未向真实防火墙下发封禁；未采集 Flink 吞吐与 Checkpoint 成功率的时序（仅在 9250 文本中见到 failedCheckpoints=0 的瞬时值）。</w:t>
      </w:r>
    </w:p>
    <w:p w14:paraId="25A23780">
      <w:pPr>
        <w:spacing w:before="360" w:after="240" w:line="360" w:lineRule="auto"/>
        <w:ind w:firstLine="0" w:firstLineChars="0"/>
        <w:jc w:val="left"/>
        <w:outlineLvl w:val="0"/>
      </w:pPr>
      <w:bookmarkStart w:id="12" w:name="_Toc28953"/>
      <w:r>
        <w:rPr>
          <w:rFonts w:ascii="Times New Roman" w:hAnsi="Times New Roman" w:eastAsia="黑体" w:cs="Times New Roman"/>
          <w:b/>
          <w:color w:val="000000"/>
          <w:sz w:val="32"/>
        </w:rPr>
        <w:t>十二、测试结论与建议</w:t>
      </w:r>
      <w:bookmarkEnd w:id="12"/>
    </w:p>
    <w:p w14:paraId="73C12B9F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12.1 结论</w:t>
      </w:r>
    </w:p>
    <w:p w14:paraId="6FBAB33A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守望平台在本次全方位测试中表现出完整的工程闭环：22 个容器同时在线，健康检查正常；后端 867 例自动化中 850 例通过，守卫、自博弈、可观测性三个高风险桶全绿；控制面匿名 401、登录后业务接口可返回真实事件与 169 个运营案例；前端 16 路由可演示，值班台能看到 26 万级事件库存与知识库 2186 份文档。</w:t>
      </w:r>
    </w:p>
    <w:p w14:paraId="69E19115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对照设计文档第十三章，表 13-1 与表 13-2 的主路径已有自动化落地。表 13-3 的性能采集仍是建议项，本次只给出接口时延基线，不宣称生产 SLO。Agent 组合绕过测试尚未系统化。</w:t>
      </w:r>
    </w:p>
    <w:p w14:paraId="44FC7063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总体判定：系统达到参赛演示与回归测试要求，存在已定位、可解释的失败项，不存在「测试全绿但关键闸门未跑到」的虚假安全感。建议在答辩材料中主动展示失败分类，而不是只报 98%。</w:t>
      </w:r>
    </w:p>
    <w:p w14:paraId="76A4E8D5">
      <w:pPr>
        <w:spacing w:before="240" w:after="160" w:line="360" w:lineRule="auto"/>
        <w:ind w:firstLine="0" w:firstLineChars="0"/>
        <w:outlineLvl w:val="1"/>
      </w:pPr>
      <w:r>
        <w:rPr>
          <w:rFonts w:ascii="Times New Roman" w:hAnsi="Times New Roman" w:eastAsia="楷体" w:cs="Times New Roman"/>
          <w:b/>
          <w:color w:val="000000"/>
          <w:sz w:val="30"/>
        </w:rPr>
        <w:t>12.2 建议</w:t>
      </w:r>
    </w:p>
    <w:p w14:paraId="0189C064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（1）conftest 弹出 RESPONSE_POLICIES_DIR / RESPONSE_TAXONOMY_PATH，或在引擎侧于目录不存在时回退仓库默认文件，使本机 pytest 与容器行为一致。</w:t>
      </w:r>
    </w:p>
    <w:p w14:paraId="739FA156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（2）排查 /api/ops/competition-metrics 的下游超时，避免竞赛指标页成为唯一 500。</w:t>
      </w:r>
    </w:p>
    <w:p w14:paraId="537856FD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（3）将 audit_single.py 的内联提示词迁入 prompts/，让完整性测试重新变绿。</w:t>
      </w:r>
    </w:p>
    <w:p w14:paraId="60A56E3F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（4）为「合法工具 + 非法参数」「合法单次 + 危险序列」补充组合用例，落实设计文档 13.3 的绕过组合要求。</w:t>
      </w:r>
    </w:p>
    <w:p w14:paraId="181E222C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（5）Kafka UI 改绑本机回环；Flink 继续只经 3002 Basic Auth 暴露。</w:t>
      </w:r>
    </w:p>
    <w:p w14:paraId="79159527">
      <w:pPr>
        <w:spacing w:before="360" w:after="240" w:line="360" w:lineRule="auto"/>
        <w:ind w:firstLine="0" w:firstLineChars="0"/>
        <w:jc w:val="left"/>
        <w:outlineLvl w:val="0"/>
      </w:pPr>
      <w:bookmarkStart w:id="13" w:name="_Toc12087"/>
      <w:r>
        <w:rPr>
          <w:rFonts w:ascii="Times New Roman" w:hAnsi="Times New Roman" w:eastAsia="黑体" w:cs="Times New Roman"/>
          <w:b/>
          <w:color w:val="000000"/>
          <w:sz w:val="32"/>
        </w:rPr>
        <w:t>附录 A 失败用例明细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435"/>
        <w:gridCol w:w="2835"/>
        <w:gridCol w:w="1417"/>
      </w:tblGrid>
      <w:tr w14:paraId="14EF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</w:tcPr>
          <w:p w14:paraId="0BC31645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编号</w:t>
            </w:r>
          </w:p>
        </w:tc>
        <w:tc>
          <w:tcPr>
            <w:tcW w:w="3118" w:type="dxa"/>
            <w:shd w:val="clear" w:color="auto" w:fill="D9E2F3"/>
          </w:tcPr>
          <w:p w14:paraId="3E8C7B6F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用例</w:t>
            </w:r>
          </w:p>
        </w:tc>
        <w:tc>
          <w:tcPr>
            <w:tcW w:w="2835" w:type="dxa"/>
            <w:shd w:val="clear" w:color="auto" w:fill="D9E2F3"/>
          </w:tcPr>
          <w:p w14:paraId="0DA2357C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摘要</w:t>
            </w:r>
          </w:p>
        </w:tc>
        <w:tc>
          <w:tcPr>
            <w:tcW w:w="1417" w:type="dxa"/>
            <w:shd w:val="clear" w:color="auto" w:fill="D9E2F3"/>
          </w:tcPr>
          <w:p w14:paraId="5F79DA87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类型</w:t>
            </w:r>
          </w:p>
        </w:tc>
      </w:tr>
      <w:tr w14:paraId="71BC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8A571A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A1</w:t>
            </w:r>
          </w:p>
        </w:tc>
        <w:tc>
          <w:tcPr>
            <w:tcW w:w="3118" w:type="dxa"/>
          </w:tcPr>
          <w:p w14:paraId="5F87910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test_taxonomy_loaded 等 5 条</w:t>
            </w:r>
          </w:p>
        </w:tc>
        <w:tc>
          <w:tcPr>
            <w:tcW w:w="2835" w:type="dxa"/>
          </w:tcPr>
          <w:p w14:paraId="1B5AB53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分类空串 / uncertain</w:t>
            </w:r>
          </w:p>
        </w:tc>
        <w:tc>
          <w:tcPr>
            <w:tcW w:w="1417" w:type="dxa"/>
          </w:tcPr>
          <w:p w14:paraId="41EA632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环境依赖</w:t>
            </w:r>
          </w:p>
        </w:tc>
      </w:tr>
      <w:tr w14:paraId="7422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9F829D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A2</w:t>
            </w:r>
          </w:p>
        </w:tc>
        <w:tc>
          <w:tcPr>
            <w:tcW w:w="3118" w:type="dxa"/>
          </w:tcPr>
          <w:p w14:paraId="06C81D1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uncertain_containment 2 条</w:t>
            </w:r>
          </w:p>
        </w:tc>
        <w:tc>
          <w:tcPr>
            <w:tcW w:w="2835" w:type="dxa"/>
          </w:tcPr>
          <w:p w14:paraId="572F9E5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期望 matched_category</w:t>
            </w:r>
          </w:p>
        </w:tc>
        <w:tc>
          <w:tcPr>
            <w:tcW w:w="1417" w:type="dxa"/>
          </w:tcPr>
          <w:p w14:paraId="4E8B212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环境依赖</w:t>
            </w:r>
          </w:p>
        </w:tc>
      </w:tr>
      <w:tr w14:paraId="3DF1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079D56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A3</w:t>
            </w:r>
          </w:p>
        </w:tc>
        <w:tc>
          <w:tcPr>
            <w:tcW w:w="3118" w:type="dxa"/>
          </w:tcPr>
          <w:p w14:paraId="50BCB3F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test_yaml_seed_loads_on_startup</w:t>
            </w:r>
          </w:p>
        </w:tc>
        <w:tc>
          <w:tcPr>
            <w:tcW w:w="2835" w:type="dxa"/>
          </w:tcPr>
          <w:p w14:paraId="4211FCB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source=code 而非 yaml</w:t>
            </w:r>
          </w:p>
        </w:tc>
        <w:tc>
          <w:tcPr>
            <w:tcW w:w="1417" w:type="dxa"/>
          </w:tcPr>
          <w:p w14:paraId="6F4FA47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环境依赖</w:t>
            </w:r>
          </w:p>
        </w:tc>
      </w:tr>
      <w:tr w14:paraId="608E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418F4F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A4</w:t>
            </w:r>
          </w:p>
        </w:tc>
        <w:tc>
          <w:tcPr>
            <w:tcW w:w="3118" w:type="dxa"/>
          </w:tcPr>
          <w:p w14:paraId="2155962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test_policy_update_writes_audit_trail</w:t>
            </w:r>
          </w:p>
        </w:tc>
        <w:tc>
          <w:tcPr>
            <w:tcW w:w="2835" w:type="dxa"/>
          </w:tcPr>
          <w:p w14:paraId="72D36C3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auto_execute 快照失真</w:t>
            </w:r>
          </w:p>
        </w:tc>
        <w:tc>
          <w:tcPr>
            <w:tcW w:w="1417" w:type="dxa"/>
          </w:tcPr>
          <w:p w14:paraId="3CF1E70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环境依赖</w:t>
            </w:r>
          </w:p>
        </w:tc>
      </w:tr>
      <w:tr w14:paraId="354A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BC47B3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A5</w:t>
            </w:r>
          </w:p>
        </w:tc>
        <w:tc>
          <w:tcPr>
            <w:tcW w:w="3118" w:type="dxa"/>
          </w:tcPr>
          <w:p w14:paraId="4696418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test_audit_pipeline_path_creates_case</w:t>
            </w:r>
          </w:p>
        </w:tc>
        <w:tc>
          <w:tcPr>
            <w:tcW w:w="2835" w:type="dxa"/>
          </w:tcPr>
          <w:p w14:paraId="2D98E1F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sqlite 无 hashtext，案例未落库</w:t>
            </w:r>
          </w:p>
        </w:tc>
        <w:tc>
          <w:tcPr>
            <w:tcW w:w="1417" w:type="dxa"/>
          </w:tcPr>
          <w:p w14:paraId="756F120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方言</w:t>
            </w:r>
          </w:p>
        </w:tc>
      </w:tr>
      <w:tr w14:paraId="3427B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67ED0C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A6</w:t>
            </w:r>
          </w:p>
        </w:tc>
        <w:tc>
          <w:tcPr>
            <w:tcW w:w="3118" w:type="dxa"/>
          </w:tcPr>
          <w:p w14:paraId="4962EA7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test_update_response_policy</w:t>
            </w:r>
          </w:p>
        </w:tc>
        <w:tc>
          <w:tcPr>
            <w:tcW w:w="2835" w:type="dxa"/>
          </w:tcPr>
          <w:p w14:paraId="1396DE72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KeyError min_confidence</w:t>
            </w:r>
          </w:p>
        </w:tc>
        <w:tc>
          <w:tcPr>
            <w:tcW w:w="1417" w:type="dxa"/>
          </w:tcPr>
          <w:p w14:paraId="148CF92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契约</w:t>
            </w:r>
          </w:p>
        </w:tc>
      </w:tr>
      <w:tr w14:paraId="2BFA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246095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A7</w:t>
            </w:r>
          </w:p>
        </w:tc>
        <w:tc>
          <w:tcPr>
            <w:tcW w:w="3118" w:type="dxa"/>
          </w:tcPr>
          <w:p w14:paraId="7E1F71C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test_edr_adapter_ingest_normalizes</w:t>
            </w:r>
          </w:p>
        </w:tc>
        <w:tc>
          <w:tcPr>
            <w:tcW w:w="2835" w:type="dxa"/>
          </w:tcPr>
          <w:p w14:paraId="53EE492C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无当前事件循环；单独通过</w:t>
            </w:r>
          </w:p>
        </w:tc>
        <w:tc>
          <w:tcPr>
            <w:tcW w:w="1417" w:type="dxa"/>
          </w:tcPr>
          <w:p w14:paraId="62F01FE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隔离</w:t>
            </w:r>
          </w:p>
        </w:tc>
      </w:tr>
      <w:tr w14:paraId="338C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5A96D5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A8</w:t>
            </w:r>
          </w:p>
        </w:tc>
        <w:tc>
          <w:tcPr>
            <w:tcW w:w="3118" w:type="dxa"/>
          </w:tcPr>
          <w:p w14:paraId="36BE5FF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test_embed_counters_and_trace</w:t>
            </w:r>
          </w:p>
        </w:tc>
        <w:tc>
          <w:tcPr>
            <w:tcW w:w="2835" w:type="dxa"/>
          </w:tcPr>
          <w:p w14:paraId="1A96DA83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计数器被前序污染；单独通过</w:t>
            </w:r>
          </w:p>
        </w:tc>
        <w:tc>
          <w:tcPr>
            <w:tcW w:w="1417" w:type="dxa"/>
          </w:tcPr>
          <w:p w14:paraId="02C0E4B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隔离</w:t>
            </w:r>
          </w:p>
        </w:tc>
      </w:tr>
      <w:tr w14:paraId="409C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84964CA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A9</w:t>
            </w:r>
          </w:p>
        </w:tc>
        <w:tc>
          <w:tcPr>
            <w:tcW w:w="3118" w:type="dxa"/>
          </w:tcPr>
          <w:p w14:paraId="10EE27E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test_no_hardcoded_system_prompt</w:t>
            </w:r>
          </w:p>
        </w:tc>
        <w:tc>
          <w:tcPr>
            <w:tcW w:w="2835" w:type="dxa"/>
          </w:tcPr>
          <w:p w14:paraId="4C201C0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audit_single.py 内联模板</w:t>
            </w:r>
          </w:p>
        </w:tc>
        <w:tc>
          <w:tcPr>
            <w:tcW w:w="1417" w:type="dxa"/>
          </w:tcPr>
          <w:p w14:paraId="04EBA9E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真实代码</w:t>
            </w:r>
          </w:p>
        </w:tc>
      </w:tr>
    </w:tbl>
    <w:p w14:paraId="4EC473AA">
      <w:pPr>
        <w:spacing w:after="80"/>
      </w:pPr>
    </w:p>
    <w:p w14:paraId="2702172E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A-1 14 个失败的归并（A1 含 5 条 taxonomy）</w:t>
      </w:r>
    </w:p>
    <w:p w14:paraId="2DEB1BA8">
      <w:pPr>
        <w:spacing w:before="360" w:after="240" w:line="360" w:lineRule="auto"/>
        <w:ind w:firstLine="0" w:firstLineChars="0"/>
        <w:jc w:val="left"/>
        <w:outlineLvl w:val="0"/>
      </w:pPr>
      <w:bookmarkStart w:id="14" w:name="_Toc487"/>
      <w:r>
        <w:rPr>
          <w:rFonts w:ascii="Times New Roman" w:hAnsi="Times New Roman" w:eastAsia="黑体" w:cs="Times New Roman"/>
          <w:b/>
          <w:color w:val="000000"/>
          <w:sz w:val="32"/>
        </w:rPr>
        <w:t>附录 B 证据索引</w:t>
      </w:r>
      <w:bookmarkEnd w:id="14"/>
    </w:p>
    <w:p w14:paraId="1926CEC0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原始证据位于仓库 docs/test-campaign/。本 Word 文档为面向评委的排版成品，数字以 JUnit 与探活 JSON 为准。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7B81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shd w:val="clear" w:color="auto" w:fill="D9E2F3"/>
          </w:tcPr>
          <w:p w14:paraId="2E0804FB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文件</w:t>
            </w:r>
          </w:p>
        </w:tc>
        <w:tc>
          <w:tcPr>
            <w:tcW w:w="4252" w:type="dxa"/>
            <w:shd w:val="clear" w:color="auto" w:fill="D9E2F3"/>
          </w:tcPr>
          <w:p w14:paraId="1FC84BD0">
            <w:pPr>
              <w:spacing w:before="40" w:after="40" w:line="276" w:lineRule="auto"/>
            </w:pPr>
            <w:r>
              <w:rPr>
                <w:rFonts w:ascii="Times New Roman" w:hAnsi="Times New Roman" w:eastAsia="楷体" w:cs="Times New Roman"/>
                <w:b/>
                <w:color w:val="000000"/>
                <w:sz w:val="21"/>
              </w:rPr>
              <w:t>内容</w:t>
            </w:r>
          </w:p>
        </w:tc>
      </w:tr>
      <w:tr w14:paraId="40A5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585E545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pytest-junit.xml / pytest-summary.json</w:t>
            </w:r>
          </w:p>
        </w:tc>
        <w:tc>
          <w:tcPr>
            <w:tcW w:w="4252" w:type="dxa"/>
          </w:tcPr>
          <w:p w14:paraId="7C1D369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867 例原始结果</w:t>
            </w:r>
          </w:p>
        </w:tc>
      </w:tr>
      <w:tr w14:paraId="4651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2D65F37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01-backend-pytest-report.md</w:t>
            </w:r>
          </w:p>
        </w:tc>
        <w:tc>
          <w:tcPr>
            <w:tcW w:w="4252" w:type="dxa"/>
          </w:tcPr>
          <w:p w14:paraId="610D05C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分桶与失败归因</w:t>
            </w:r>
          </w:p>
        </w:tc>
      </w:tr>
      <w:tr w14:paraId="5A24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3DB9858E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02-api-frontend-env-report.md</w:t>
            </w:r>
          </w:p>
        </w:tc>
        <w:tc>
          <w:tcPr>
            <w:tcW w:w="4252" w:type="dxa"/>
          </w:tcPr>
          <w:p w14:paraId="5BDCF25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容器、OpenAPI、探活、截图</w:t>
            </w:r>
          </w:p>
        </w:tc>
      </w:tr>
      <w:tr w14:paraId="7064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5681645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03-design-doc.md / 03-design-test-requirements.md</w:t>
            </w:r>
          </w:p>
        </w:tc>
        <w:tc>
          <w:tcPr>
            <w:tcW w:w="4252" w:type="dxa"/>
          </w:tcPr>
          <w:p w14:paraId="191D6050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设计文档转换与第十三章清单</w:t>
            </w:r>
          </w:p>
        </w:tc>
      </w:tr>
      <w:tr w14:paraId="5EBD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5679B1C5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04-qa-report.md</w:t>
            </w:r>
          </w:p>
        </w:tc>
        <w:tc>
          <w:tcPr>
            <w:tcW w:w="4252" w:type="dxa"/>
          </w:tcPr>
          <w:p w14:paraId="18739F9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独立复核，判定 PASS_WITH_FINDINGS</w:t>
            </w:r>
          </w:p>
        </w:tc>
      </w:tr>
      <w:tr w14:paraId="1A26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20A25FA9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openapi-paths.json</w:t>
            </w:r>
          </w:p>
        </w:tc>
        <w:tc>
          <w:tcPr>
            <w:tcW w:w="4252" w:type="dxa"/>
          </w:tcPr>
          <w:p w14:paraId="6F37CE1F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207 个操作清单</w:t>
            </w:r>
          </w:p>
        </w:tc>
      </w:tr>
      <w:tr w14:paraId="29F8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1C878F17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api-probe.json</w:t>
            </w:r>
          </w:p>
        </w:tc>
        <w:tc>
          <w:tcPr>
            <w:tcW w:w="4252" w:type="dxa"/>
          </w:tcPr>
          <w:p w14:paraId="50676164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探活记录（无令牌）</w:t>
            </w:r>
          </w:p>
        </w:tc>
      </w:tr>
      <w:tr w14:paraId="4B41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1FFE358D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screenshots/</w:t>
            </w:r>
          </w:p>
        </w:tc>
        <w:tc>
          <w:tcPr>
            <w:tcW w:w="4252" w:type="dxa"/>
          </w:tcPr>
          <w:p w14:paraId="06057776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未登录 16 路由 + 登录态数据页 + Jaeger</w:t>
            </w:r>
          </w:p>
        </w:tc>
      </w:tr>
      <w:tr w14:paraId="5865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388631B8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figures/</w:t>
            </w:r>
          </w:p>
        </w:tc>
        <w:tc>
          <w:tcPr>
            <w:tcW w:w="4252" w:type="dxa"/>
          </w:tcPr>
          <w:p w14:paraId="2F72ECCB">
            <w:pPr>
              <w:spacing w:before="40" w:after="40" w:line="276" w:lineRule="auto"/>
            </w:pPr>
            <w:r>
              <w:rPr>
                <w:rFonts w:ascii="Times New Roman" w:hAnsi="Times New Roman" w:eastAsia="仿宋" w:cs="Times New Roman"/>
                <w:b w:val="0"/>
                <w:color w:val="000000"/>
                <w:sz w:val="21"/>
              </w:rPr>
              <w:t>通过率、分桶、OpenAPI、分层与封面图</w:t>
            </w:r>
          </w:p>
        </w:tc>
      </w:tr>
    </w:tbl>
    <w:p w14:paraId="0CACC283">
      <w:pPr>
        <w:spacing w:after="80"/>
      </w:pPr>
    </w:p>
    <w:p w14:paraId="5EB8193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1"/>
        </w:rPr>
        <w:t>表 B-1 证据包</w:t>
      </w:r>
    </w:p>
    <w:p w14:paraId="4CEBA8D6">
      <w:pPr>
        <w:spacing w:before="240" w:after="160" w:line="360" w:lineRule="auto"/>
        <w:ind w:firstLine="0" w:firstLineChars="0"/>
        <w:outlineLvl w:val="0"/>
      </w:pPr>
      <w:bookmarkStart w:id="15" w:name="_Toc11434"/>
      <w:r>
        <w:rPr>
          <w:rFonts w:ascii="Times New Roman" w:hAnsi="Times New Roman" w:eastAsia="楷体" w:cs="Times New Roman"/>
          <w:b/>
          <w:color w:val="000000"/>
          <w:sz w:val="30"/>
        </w:rPr>
        <w:t>B.1 测试人员与工具</w:t>
      </w:r>
      <w:bookmarkEnd w:id="15"/>
    </w:p>
    <w:p w14:paraId="03A5A3B5"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>测试在项目组监督下完成。自动化执行使用 pytest 9.1.1；接口探活使用直连 HTTP；界面使用 Headless Chrome。配图中的封面更楼为示意，统计图由当次数据绘制。复核结论为「数字一致，遗留风险已披露」。</w:t>
      </w:r>
    </w:p>
    <w:p w14:paraId="27AD2FB0">
      <w:pPr>
        <w:spacing w:befor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—— 报告结束 ——</w:t>
      </w:r>
    </w:p>
    <w:sectPr>
      <w:headerReference r:id="rId5" w:type="default"/>
      <w:footerReference r:id="rId6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A2AA6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8139B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8139B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2AC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D90F53"/>
    <w:rsid w:val="6486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3548</Words>
  <Characters>6096</Characters>
  <Lines>0</Lines>
  <Paragraphs>0</Paragraphs>
  <TotalTime>2</TotalTime>
  <ScaleCrop>false</ScaleCrop>
  <LinksUpToDate>false</LinksUpToDate>
  <CharactersWithSpaces>6630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拾光者</cp:lastModifiedBy>
  <dcterms:modified xsi:type="dcterms:W3CDTF">2026-09-10T05:52:38Z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eyJoZGlkIjoiYzMzNmIxN2ViNmJhZjcxNjMzMjcyNmMwNDY2ZjFmMjEiLCJ1c2VySWQiOiI2MzYyOTg3MjIifQ==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59D0632876194D6EA633A55923778D55_12</vt:lpwstr>
  </property>
</Properties>
</file>