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E79"/>
          <w:sz w:val="48"/>
        </w:rPr>
        <w:t>LLM性能テスト方針報告書</w:t>
        <w:br/>
        <w:t>テンプレート</w:t>
      </w:r>
    </w:p>
    <w:p>
      <w:pPr>
        <w:spacing w:before="0" w:after="360" w:line="288" w:lineRule="auto"/>
        <w:jc w:val="center"/>
      </w:pPr>
      <w:r>
        <w:rPr>
          <w:b w:val="0"/>
          <w:color w:val="595959"/>
          <w:sz w:val="24"/>
        </w:rPr>
        <w:t>GuideLLM 出力結果をもとにした社内向け日本語レポート雛形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vAlign w:val="center"/>
            <w:shd w:fill="2F75B5"/>
          </w:tcPr>
          <w:p>
            <w:pPr>
              <w:jc w:val="left"/>
            </w:pPr>
            <w:r/>
            <w:r>
              <w:rPr>
                <w:b/>
                <w:color w:val="FFFFFF"/>
                <w:sz w:val="22"/>
              </w:rPr>
              <w:t>適用対象</w:t>
            </w:r>
          </w:p>
        </w:tc>
      </w:tr>
      <w:tr>
        <w:tc>
          <w:tcPr>
            <w:tcW w:type="dxa" w:w="9071"/>
            <w:vAlign w:val="center"/>
            <w:shd w:fill="F7FBFE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環境: 日本企業内の閉域/社内ネットワーク環境</w:t>
            </w:r>
          </w:p>
        </w:tc>
      </w:tr>
      <w:tr>
        <w:tc>
          <w:tcPr>
            <w:tcW w:type="dxa" w:w="9071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サーバー: NVIDIA DGX Spark（CPU/GPUユニファイドメモリ 128GB）</w:t>
            </w:r>
          </w:p>
        </w:tc>
      </w:tr>
      <w:tr>
        <w:tc>
          <w:tcPr>
            <w:tcW w:type="dxa" w:w="9071"/>
            <w:vAlign w:val="center"/>
            <w:shd w:fill="F7FBFE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構成: vLLM + LiteLLM（同時に起動するモデルは1つ）</w:t>
            </w:r>
          </w:p>
        </w:tc>
      </w:tr>
      <w:tr>
        <w:tc>
          <w:tcPr>
            <w:tcW w:type="dxa" w:w="9071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想定同時利用者数: 最大20名程度</w:t>
            </w:r>
          </w:p>
        </w:tc>
      </w:tr>
      <w:tr>
        <w:tc>
          <w:tcPr>
            <w:tcW w:type="dxa" w:w="9071"/>
            <w:vAlign w:val="center"/>
            <w:shd w:fill="F7FBFE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対象モデル: gemma4-26B-A4B-it / gemma4-31B-it</w:t>
            </w:r>
          </w:p>
        </w:tc>
      </w:tr>
    </w:tbl>
    <w:p/>
    <w:p>
      <w:pPr>
        <w:spacing w:before="0" w:after="120" w:line="288" w:lineRule="auto"/>
        <w:jc w:val="center"/>
      </w:pPr>
      <w:r>
        <w:rPr>
          <w:b w:val="0"/>
          <w:color w:val="646464"/>
          <w:sz w:val="21"/>
        </w:rPr>
        <w:t>作成日: ____________________    作成者: ____________________</w:t>
      </w:r>
    </w:p>
    <w:p>
      <w:pPr>
        <w:spacing w:before="0" w:after="80" w:line="288" w:lineRule="auto"/>
        <w:jc w:val="center"/>
      </w:pPr>
      <w:r>
        <w:rPr>
          <w:b w:val="0"/>
          <w:color w:val="787878"/>
          <w:sz w:val="20"/>
        </w:rPr>
        <w:t>※ 本テンプレートは「結果記録」と「日本語総合分析」を一体化した報告書フォーマットです。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b w:val="0"/>
          <w:color w:val="1F4E79"/>
        </w:rPr>
        <w:t>0. テスト構成および実行状況</w:t>
      </w:r>
    </w:p>
    <w:p>
      <w:pPr>
        <w:spacing w:before="0" w:after="80" w:line="288" w:lineRule="auto"/>
      </w:pPr>
      <w:r>
        <w:rPr>
          <w:b/>
          <w:color w:val="444444"/>
          <w:sz w:val="23"/>
        </w:rPr>
        <w:t>0-1. テスト目的</w:t>
      </w:r>
    </w:p>
    <w:p>
      <w:pPr>
        <w:pStyle w:val="ListBullet"/>
        <w:spacing w:before="0" w:after="40" w:line="288" w:lineRule="auto"/>
        <w:ind w:left="0"/>
      </w:pPr>
      <w:r>
        <w:rPr>
          <w:b w:val="0"/>
          <w:sz w:val="21"/>
        </w:rPr>
        <w:t>社内利用を想定した開源LLMの実効性能・スループット・遅延特性を把握する。</w:t>
      </w:r>
    </w:p>
    <w:p>
      <w:pPr>
        <w:pStyle w:val="ListBullet"/>
        <w:spacing w:before="0" w:after="40" w:line="288" w:lineRule="auto"/>
        <w:ind w:left="0"/>
      </w:pPr>
      <w:r>
        <w:rPr>
          <w:b w:val="0"/>
          <w:sz w:val="21"/>
        </w:rPr>
        <w:t>最大同時利用者数20名程度を想定し、実運用に近い並列条件で安定稼働可能か確認する。</w:t>
      </w:r>
    </w:p>
    <w:p>
      <w:pPr>
        <w:pStyle w:val="ListBullet"/>
        <w:spacing w:before="0" w:after="40" w:line="288" w:lineRule="auto"/>
        <w:ind w:left="0"/>
      </w:pPr>
      <w:r>
        <w:rPr>
          <w:b w:val="0"/>
          <w:sz w:val="21"/>
        </w:rPr>
        <w:t>モデルごとの適正運用レンジ（推奨同時実行数、応答品質と速度のバランス点）を明確化する。</w:t>
      </w:r>
    </w:p>
    <w:p>
      <w:pPr>
        <w:spacing w:before="0" w:after="80" w:line="288" w:lineRule="auto"/>
      </w:pPr>
      <w:r>
        <w:rPr>
          <w:b/>
          <w:color w:val="444444"/>
          <w:sz w:val="23"/>
        </w:rPr>
        <w:t>0-2. システム/モデル構成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pPr>
              <w:spacing w:before="20" w:after="20" w:line="264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設置環境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before="20" w:after="20" w:line="264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日本IT企業 社内ネットワーク環境</w:t>
            </w:r>
          </w:p>
        </w:tc>
      </w:tr>
      <w:tr>
        <w:tc>
          <w:tcPr>
            <w:tcW w:type="dxa" w:w="2268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ハードウェア</w:t>
            </w:r>
          </w:p>
        </w:tc>
        <w:tc>
          <w:tcPr>
            <w:tcW w:type="dxa" w:w="6803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NVIDIA DGX Spark / Unified Memory 128GB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推論サーバー構成</w:t>
            </w:r>
          </w:p>
        </w:tc>
        <w:tc>
          <w:tcPr>
            <w:tcW w:type="dxa" w:w="6803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vLLM + LiteLLM</w:t>
            </w:r>
          </w:p>
        </w:tc>
      </w:tr>
      <w:tr>
        <w:tc>
          <w:tcPr>
            <w:tcW w:type="dxa" w:w="2268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モデル起動方針</w:t>
            </w:r>
          </w:p>
        </w:tc>
        <w:tc>
          <w:tcPr>
            <w:tcW w:type="dxa" w:w="6803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1回の試験につき1モデルのみ起動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対象モデル①</w:t>
            </w:r>
          </w:p>
        </w:tc>
        <w:tc>
          <w:tcPr>
            <w:tcW w:type="dxa" w:w="6803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gemma4-26B-A4B-it</w:t>
            </w:r>
          </w:p>
        </w:tc>
      </w:tr>
      <w:tr>
        <w:tc>
          <w:tcPr>
            <w:tcW w:type="dxa" w:w="2268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対象モデル②</w:t>
            </w:r>
          </w:p>
        </w:tc>
        <w:tc>
          <w:tcPr>
            <w:tcW w:type="dxa" w:w="6803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gemma4-31B-it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性能試験ツール</w:t>
            </w:r>
          </w:p>
        </w:tc>
        <w:tc>
          <w:tcPr>
            <w:tcW w:type="dxa" w:w="6803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GuideLLM</w:t>
            </w:r>
          </w:p>
        </w:tc>
      </w:tr>
      <w:tr>
        <w:tc>
          <w:tcPr>
            <w:tcW w:type="dxa" w:w="2268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試験プロファイル</w:t>
            </w:r>
          </w:p>
        </w:tc>
        <w:tc>
          <w:tcPr>
            <w:tcW w:type="dxa" w:w="6803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concurrent（並列数 1 / 2 / 5 / 10 / 15 / 20 / 30）</w:t>
            </w:r>
          </w:p>
        </w:tc>
      </w:tr>
    </w:tbl>
    <w:p/>
    <w:p>
      <w:pPr>
        <w:spacing w:before="0" w:after="80" w:line="288" w:lineRule="auto"/>
      </w:pPr>
      <w:r>
        <w:rPr>
          <w:b/>
          <w:color w:val="444444"/>
          <w:sz w:val="23"/>
        </w:rPr>
        <w:t>0-3. GuideLLM 実行条件（記入欄）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EAF7"/>
          </w:tcPr>
          <w:p>
            <w:pPr>
              <w:spacing w:before="20" w:after="20" w:line="264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エンドポイント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before="20" w:after="20" w:line="264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例: http://&lt;host&gt;:&lt;port&gt;/v1/completions または /v1/chat/completions</w:t>
            </w:r>
          </w:p>
        </w:tc>
      </w:tr>
      <w:tr>
        <w:tc>
          <w:tcPr>
            <w:tcW w:type="dxa" w:w="2835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request_type</w:t>
            </w:r>
          </w:p>
        </w:tc>
        <w:tc>
          <w:tcPr>
            <w:tcW w:type="dxa" w:w="6236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--profile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concurrent</w:t>
            </w:r>
          </w:p>
        </w:tc>
      </w:tr>
      <w:tr>
        <w:tc>
          <w:tcPr>
            <w:tcW w:type="dxa" w:w="2835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--rate</w:t>
            </w:r>
          </w:p>
        </w:tc>
        <w:tc>
          <w:tcPr>
            <w:tcW w:type="dxa" w:w="6236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1, 2, 5, 10, 15, 20, 30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--data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推奨初期値: prompt_tokens=1024,output_tokens=256,samples=2000</w:t>
            </w:r>
          </w:p>
        </w:tc>
      </w:tr>
      <w:tr>
        <w:tc>
          <w:tcPr>
            <w:tcW w:type="dxa" w:w="2835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max_requests / max_seconds</w:t>
            </w:r>
          </w:p>
        </w:tc>
        <w:tc>
          <w:tcPr>
            <w:tcW w:type="dxa" w:w="6236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warm-up 実施有無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あり / なし</w:t>
            </w:r>
          </w:p>
        </w:tc>
      </w:tr>
      <w:tr>
        <w:tc>
          <w:tcPr>
            <w:tcW w:type="dxa" w:w="2835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測定日時</w:t>
            </w:r>
          </w:p>
        </w:tc>
        <w:tc>
          <w:tcPr>
            <w:tcW w:type="dxa" w:w="6236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備考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必要に応じて ignore_eos, tokenizer, 出力形式(json/csv/yaml)などを記載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vAlign w:val="center"/>
            <w:shd w:fill="2F75B5"/>
          </w:tcPr>
          <w:p>
            <w:pPr>
              <w:jc w:val="left"/>
            </w:pPr>
            <w:r/>
            <w:r>
              <w:rPr>
                <w:b/>
                <w:color w:val="FFFFFF"/>
                <w:sz w:val="22"/>
              </w:rPr>
              <w:t>推奨記入メモ</w:t>
            </w:r>
          </w:p>
        </w:tc>
      </w:tr>
      <w:tr>
        <w:tc>
          <w:tcPr>
            <w:tcW w:type="dxa" w:w="9071"/>
            <w:vAlign w:val="center"/>
            <w:shd w:fill="F7FBFE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社内チャット用途の初期試験値としては prompt_tokens=1024 / output_tokens=256 が扱いやすい。</w:t>
            </w:r>
          </w:p>
        </w:tc>
      </w:tr>
      <w:tr>
        <w:tc>
          <w:tcPr>
            <w:tcW w:type="dxa" w:w="9071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長文入力耐性も見たい場合は補助試験として prompt_tokens=2048 / output_tokens=256 を追加すると比較しやすい。</w:t>
            </w:r>
          </w:p>
        </w:tc>
      </w:tr>
      <w:tr>
        <w:tc>
          <w:tcPr>
            <w:tcW w:type="dxa" w:w="9071"/>
            <w:vAlign w:val="center"/>
            <w:shd w:fill="F7FBFE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本試験では concurrent プロファイルを固定し、並列数ごとの差分を明確に観察する。</w:t>
            </w:r>
          </w:p>
        </w:tc>
      </w:tr>
    </w:tbl>
    <w:p/>
    <w:p>
      <w:pPr>
        <w:spacing w:before="0" w:after="80" w:line="288" w:lineRule="auto"/>
      </w:pPr>
      <w:r>
        <w:rPr>
          <w:b/>
          <w:color w:val="444444"/>
          <w:sz w:val="23"/>
        </w:rPr>
        <w:t>0-4. 実行状況サマリー（記入欄）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モデル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実行可否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完了/中断理由</w:t>
            </w:r>
          </w:p>
        </w:tc>
        <w:tc>
          <w:tcPr>
            <w:tcW w:type="dxa" w:w="3005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ログ・異常メモ</w:t>
            </w:r>
          </w:p>
        </w:tc>
      </w:tr>
      <w:tr>
        <w:tc>
          <w:tcPr>
            <w:tcW w:type="dxa" w:w="1701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gemma4-26B-A4B-it</w:t>
            </w:r>
          </w:p>
        </w:tc>
        <w:tc>
          <w:tcPr>
            <w:tcW w:type="dxa" w:w="198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381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005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gemma4-31B-it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005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01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前処理/トークナイザ</w:t>
            </w:r>
          </w:p>
        </w:tc>
        <w:tc>
          <w:tcPr>
            <w:tcW w:type="dxa" w:w="198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381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005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vLLM起動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005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01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LiteLLM疎通</w:t>
            </w:r>
          </w:p>
        </w:tc>
        <w:tc>
          <w:tcPr>
            <w:tcW w:type="dxa" w:w="198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381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3005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</w:tbl>
    <w:p/>
    <w:p>
      <w:pPr>
        <w:spacing w:before="0" w:after="80" w:line="288" w:lineRule="auto"/>
      </w:pPr>
      <w:r>
        <w:rPr>
          <w:b/>
          <w:color w:val="444444"/>
          <w:sz w:val="23"/>
        </w:rPr>
        <w:t>0-5. 結果ファイル管理ルール</w:t>
      </w:r>
    </w:p>
    <w:p>
      <w:pPr>
        <w:pStyle w:val="ListBullet"/>
        <w:spacing w:before="0" w:after="40" w:line="288" w:lineRule="auto"/>
        <w:ind w:left="0"/>
      </w:pPr>
      <w:r>
        <w:rPr>
          <w:b w:val="0"/>
          <w:sz w:val="21"/>
        </w:rPr>
        <w:t>モデルごとに結果ディレクトリを分離し、model名・日時・条件が識別できる命名規則に統一する。</w:t>
      </w:r>
    </w:p>
    <w:p>
      <w:pPr>
        <w:pStyle w:val="ListBullet"/>
        <w:spacing w:before="0" w:after="40" w:line="288" w:lineRule="auto"/>
        <w:ind w:left="0"/>
      </w:pPr>
      <w:r>
        <w:rPr>
          <w:b w:val="0"/>
          <w:sz w:val="21"/>
        </w:rPr>
        <w:t>json / csv / yaml / consoleログを同一フォルダに保存し、後追いで再集計できる状態にする。</w:t>
      </w:r>
    </w:p>
    <w:p>
      <w:pPr>
        <w:pStyle w:val="ListBullet"/>
        <w:spacing w:before="0" w:after="40" w:line="288" w:lineRule="auto"/>
        <w:ind w:left="0"/>
      </w:pPr>
      <w:r>
        <w:rPr>
          <w:b w:val="0"/>
          <w:sz w:val="21"/>
        </w:rPr>
        <w:t>測定失敗時も中断ログ・エラーメッセージ・再試行履歴を保存し、成功結果と混在しないよう区別する。</w:t>
      </w:r>
    </w:p>
    <w:p>
      <w:pPr>
        <w:spacing w:before="0" w:after="80" w:line="288" w:lineRule="auto"/>
      </w:pPr>
      <w:r>
        <w:rPr>
          <w:b/>
          <w:color w:val="444444"/>
          <w:sz w:val="23"/>
        </w:rPr>
        <w:t>0-6. 報告書記載時の判定ルール（例）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判定観点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記載区分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判断例</w:t>
            </w:r>
          </w:p>
        </w:tc>
      </w:tr>
      <w:tr>
        <w:tc>
          <w:tcPr>
            <w:tcW w:type="dxa" w:w="2268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throughput</w:t>
            </w:r>
          </w:p>
        </w:tc>
        <w:tc>
          <w:tcPr>
            <w:tcW w:type="dxa" w:w="255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良好</w:t>
            </w:r>
          </w:p>
        </w:tc>
        <w:tc>
          <w:tcPr>
            <w:tcW w:type="dxa" w:w="4252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並列数増加に応じて総token/sが安定的に増加する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latency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注意</w:t>
            </w:r>
          </w:p>
        </w:tc>
        <w:tc>
          <w:tcPr>
            <w:tcW w:type="dxa" w:w="4252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TTFTまたはrequest遅延が実用上の許容値に接近する</w:t>
            </w:r>
          </w:p>
        </w:tc>
      </w:tr>
      <w:tr>
        <w:tc>
          <w:tcPr>
            <w:tcW w:type="dxa" w:w="2268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stability</w:t>
            </w:r>
          </w:p>
        </w:tc>
        <w:tc>
          <w:tcPr>
            <w:tcW w:type="dxa" w:w="255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要改善</w:t>
            </w:r>
          </w:p>
        </w:tc>
        <w:tc>
          <w:tcPr>
            <w:tcW w:type="dxa" w:w="4252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エラー増加・タイムアウト・途中中断が発生する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operation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推奨条件</w:t>
            </w:r>
          </w:p>
        </w:tc>
        <w:tc>
          <w:tcPr>
            <w:tcW w:type="dxa" w:w="4252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20名利用想定で安定運用できる並列レンジを明示する</w:t>
            </w:r>
          </w:p>
        </w:tc>
      </w:tr>
    </w:tbl>
    <w:p>
      <w:r>
        <w:br w:type="page"/>
      </w:r>
    </w:p>
    <w:p>
      <w:pPr>
        <w:pStyle w:val="Heading1"/>
        <w:spacing w:before="0" w:after="160" w:line="288" w:lineRule="auto"/>
      </w:pPr>
      <w:r>
        <w:rPr>
          <w:b w:val="0"/>
          <w:color w:val="1F4E79"/>
        </w:rPr>
        <w:t>1. 各 concurrent のスループット分析表</w:t>
      </w:r>
    </w:p>
    <w:p>
      <w:pPr>
        <w:pStyle w:val="Heading2"/>
        <w:spacing w:before="0" w:after="100" w:line="288" w:lineRule="auto"/>
      </w:pPr>
      <w:r>
        <w:rPr>
          <w:b w:val="0"/>
          <w:color w:val="1F4E79"/>
        </w:rPr>
        <w:t>1-1. gemma4-26B-A4B-it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134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並列数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リクエスト率</w:t>
              <w:br/>
              <w:t>(req/s)</w:t>
            </w:r>
          </w:p>
        </w:tc>
        <w:tc>
          <w:tcPr>
            <w:tcW w:type="dxa" w:w="1474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input</w:t>
              <w:br/>
              <w:t xml:space="preserve"> token/s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output</w:t>
              <w:br/>
              <w:t xml:space="preserve"> token/s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平均1request当たり</w:t>
              <w:br/>
              <w:t xml:space="preserve"> output token/s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総token/s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評価メモ</w:t>
            </w:r>
          </w:p>
        </w:tc>
      </w:tr>
      <w:tr>
        <w:tc>
          <w:tcPr>
            <w:tcW w:type="dxa" w:w="113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7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81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7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81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7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81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7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81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</w:tbl>
    <w:p/>
    <w:p>
      <w:pPr>
        <w:spacing w:before="0" w:after="160" w:line="288" w:lineRule="auto"/>
      </w:pPr>
      <w:r>
        <w:rPr>
          <w:b w:val="0"/>
          <w:color w:val="5F5F5F"/>
          <w:sz w:val="20"/>
        </w:rPr>
        <w:t>観点: 並列数の増加に伴い output token/s と総token/s がどこで頭打ちになるか、20同時利用想定に耐えられるかを中心に記載する。</w:t>
      </w:r>
    </w:p>
    <w:p>
      <w:pPr>
        <w:pStyle w:val="Heading2"/>
        <w:spacing w:before="0" w:after="100" w:line="288" w:lineRule="auto"/>
      </w:pPr>
      <w:r>
        <w:rPr>
          <w:b w:val="0"/>
          <w:color w:val="1F4E79"/>
        </w:rPr>
        <w:t>1-2. gemma4-31B-it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134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並列数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リクエスト率</w:t>
              <w:br/>
              <w:t>(req/s)</w:t>
            </w:r>
          </w:p>
        </w:tc>
        <w:tc>
          <w:tcPr>
            <w:tcW w:type="dxa" w:w="1474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input</w:t>
              <w:br/>
              <w:t xml:space="preserve"> token/s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output</w:t>
              <w:br/>
              <w:t xml:space="preserve"> token/s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平均1request当たり</w:t>
              <w:br/>
              <w:t xml:space="preserve"> output token/s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総token/s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評価メモ</w:t>
            </w:r>
          </w:p>
        </w:tc>
      </w:tr>
      <w:tr>
        <w:tc>
          <w:tcPr>
            <w:tcW w:type="dxa" w:w="113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7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81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7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81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7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81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7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81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</w:tbl>
    <w:p/>
    <w:p>
      <w:pPr>
        <w:spacing w:before="0" w:after="160" w:line="288" w:lineRule="auto"/>
      </w:pPr>
      <w:r>
        <w:rPr>
          <w:b w:val="0"/>
          <w:color w:val="5F5F5F"/>
          <w:sz w:val="20"/>
        </w:rPr>
        <w:t>観点: 並列数の増加に伴い output token/s と総token/s がどこで頭打ちになるか、20同時利用想定に耐えられるかを中心に記載する。</w:t>
      </w:r>
    </w:p>
    <w:p>
      <w:pPr>
        <w:pStyle w:val="Heading1"/>
        <w:spacing w:before="0" w:after="160" w:line="288" w:lineRule="auto"/>
      </w:pPr>
      <w:r>
        <w:rPr>
          <w:b w:val="0"/>
          <w:color w:val="1F4E79"/>
        </w:rPr>
        <w:t>2. 各 concurrent のリクエスト遅延分析</w:t>
      </w:r>
    </w:p>
    <w:p>
      <w:pPr>
        <w:pStyle w:val="Heading2"/>
        <w:spacing w:before="0" w:after="100" w:line="288" w:lineRule="auto"/>
      </w:pPr>
      <w:r>
        <w:rPr>
          <w:b w:val="0"/>
          <w:color w:val="1F4E79"/>
        </w:rPr>
        <w:t>2-1. gemma4-26B-A4B-it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134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並列数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TTFT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request遅延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ITL mdn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TPOT mdn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所見</w:t>
            </w:r>
          </w:p>
        </w:tc>
      </w:tr>
      <w:tr>
        <w:tc>
          <w:tcPr>
            <w:tcW w:type="dxa" w:w="113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2835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2835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2835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2835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</w:tbl>
    <w:p/>
    <w:p>
      <w:pPr>
        <w:spacing w:before="0" w:after="160" w:line="288" w:lineRule="auto"/>
      </w:pPr>
      <w:r>
        <w:rPr>
          <w:b w:val="0"/>
          <w:color w:val="5F5F5F"/>
          <w:sz w:val="20"/>
        </w:rPr>
        <w:t>観点: TTFT の悪化開始点、request遅延の急増点、ITL/TPOT のばらつき有無、業務利用上の体感遅延に相当する境界を記載する。</w:t>
      </w:r>
    </w:p>
    <w:p>
      <w:pPr>
        <w:pStyle w:val="Heading2"/>
        <w:spacing w:before="0" w:after="100" w:line="288" w:lineRule="auto"/>
      </w:pPr>
      <w:r>
        <w:rPr>
          <w:b w:val="0"/>
          <w:color w:val="1F4E79"/>
        </w:rPr>
        <w:t>2-2. gemma4-31B-it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134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並列数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TTFT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request遅延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ITL mdn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TPOT mdn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所見</w:t>
            </w:r>
          </w:p>
        </w:tc>
      </w:tr>
      <w:tr>
        <w:tc>
          <w:tcPr>
            <w:tcW w:type="dxa" w:w="113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2835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2835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2835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361"/>
            <w:vAlign w:val="center"/>
            <w:shd w:fill="F7FBFE"/>
          </w:tcPr>
          <w:p>
            <w:pPr>
              <w:spacing w:before="20" w:after="20" w:line="264" w:lineRule="auto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2835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</w:tbl>
    <w:p/>
    <w:p>
      <w:pPr>
        <w:spacing w:before="0" w:after="160" w:line="288" w:lineRule="auto"/>
      </w:pPr>
      <w:r>
        <w:rPr>
          <w:b w:val="0"/>
          <w:color w:val="5F5F5F"/>
          <w:sz w:val="20"/>
        </w:rPr>
        <w:t>観点: TTFT の悪化開始点、request遅延の急増点、ITL/TPOT のばらつき有無、業務利用上の体感遅延に相当する境界を記載する。</w:t>
      </w:r>
    </w:p>
    <w:p>
      <w:pPr>
        <w:pStyle w:val="Heading1"/>
        <w:spacing w:before="0" w:after="160" w:line="288" w:lineRule="auto"/>
      </w:pPr>
      <w:r>
        <w:rPr>
          <w:b w:val="0"/>
          <w:color w:val="1F4E79"/>
        </w:rPr>
        <w:t>3. 日本語総合分析</w:t>
      </w:r>
    </w:p>
    <w:p>
      <w:pPr>
        <w:pStyle w:val="Heading2"/>
        <w:spacing w:before="0" w:after="80" w:line="288" w:lineRule="auto"/>
      </w:pPr>
      <w:r>
        <w:rPr>
          <w:b w:val="0"/>
          <w:color w:val="1F4E79"/>
        </w:rPr>
        <w:t>3-1. サマリー（結論先出し）</w:t>
      </w:r>
    </w:p>
    <w:p>
      <w:pPr>
        <w:pStyle w:val="ListBullet"/>
        <w:spacing w:before="0" w:after="40" w:line="288" w:lineRule="auto"/>
        <w:ind w:left="0"/>
      </w:pPr>
      <w:r>
        <w:rPr>
          <w:b w:val="0"/>
          <w:sz w:val="21"/>
        </w:rPr>
        <w:t>最も運用バランスの良いモデルは ____________________ である。</w:t>
      </w:r>
    </w:p>
    <w:p>
      <w:pPr>
        <w:pStyle w:val="ListBullet"/>
        <w:spacing w:before="0" w:after="40" w:line="288" w:lineRule="auto"/>
        <w:ind w:left="0"/>
      </w:pPr>
      <w:r>
        <w:rPr>
          <w:b w:val="0"/>
          <w:sz w:val="21"/>
        </w:rPr>
        <w:t>20名程度の同時利用を想定した場合、推奨並列レンジは ____________________ である。</w:t>
      </w:r>
    </w:p>
    <w:p>
      <w:pPr>
        <w:pStyle w:val="ListBullet"/>
        <w:spacing w:before="0" w:after="40" w:line="288" w:lineRule="auto"/>
        <w:ind w:left="0"/>
      </w:pPr>
      <w:r>
        <w:rPr>
          <w:b w:val="0"/>
          <w:sz w:val="21"/>
        </w:rPr>
        <w:t>30並列は ____________________ の理由により、常用は推奨 / 非推奨 と判断する。</w:t>
      </w:r>
    </w:p>
    <w:p>
      <w:pPr>
        <w:pStyle w:val="Heading2"/>
        <w:spacing w:before="0" w:after="80" w:line="288" w:lineRule="auto"/>
      </w:pPr>
      <w:r>
        <w:rPr>
          <w:b w:val="0"/>
          <w:color w:val="1F4E79"/>
        </w:rPr>
        <w:t>3-2. 分析観点（記述テンプレート）</w:t>
      </w:r>
    </w:p>
    <w:p>
      <w:pPr>
        <w:pStyle w:val="ListBullet"/>
        <w:spacing w:before="0" w:after="40" w:line="288" w:lineRule="auto"/>
        <w:ind w:left="0"/>
      </w:pPr>
      <w:r>
        <w:rPr>
          <w:b w:val="0"/>
          <w:sz w:val="21"/>
        </w:rPr>
        <w:t>スループット観点: 並列数増加に比例して性能が伸びた範囲と、飽和した範囲を整理する。</w:t>
      </w:r>
    </w:p>
    <w:p>
      <w:pPr>
        <w:pStyle w:val="ListBullet"/>
        <w:spacing w:before="0" w:after="40" w:line="288" w:lineRule="auto"/>
        <w:ind w:left="0"/>
      </w:pPr>
      <w:r>
        <w:rPr>
          <w:b w:val="0"/>
          <w:sz w:val="21"/>
        </w:rPr>
        <w:t>遅延観点: TTFT と request遅延が業務上許容できるしきい値を超える並列数を明確化する。</w:t>
      </w:r>
    </w:p>
    <w:p>
      <w:pPr>
        <w:pStyle w:val="ListBullet"/>
        <w:spacing w:before="0" w:after="40" w:line="288" w:lineRule="auto"/>
        <w:ind w:left="0"/>
      </w:pPr>
      <w:r>
        <w:rPr>
          <w:b w:val="0"/>
          <w:sz w:val="21"/>
        </w:rPr>
        <w:t>運用観点: 想定同時利用者20名に対し、安定動作のための推奨設定（モデル、並列上限、入力/出力 token 条件）を述べる。</w:t>
      </w:r>
    </w:p>
    <w:p>
      <w:pPr>
        <w:pStyle w:val="ListBullet"/>
        <w:spacing w:before="0" w:after="40" w:line="288" w:lineRule="auto"/>
        <w:ind w:left="0"/>
      </w:pPr>
      <w:r>
        <w:rPr>
          <w:b w:val="0"/>
          <w:sz w:val="21"/>
        </w:rPr>
        <w:t>比較観点: gemma4-26B-A4B-it と gemma4-31B-it の差分を、速度・安定性・収容人数の3軸で記述する。</w:t>
      </w:r>
    </w:p>
    <w:p>
      <w:pPr>
        <w:pStyle w:val="ListBullet"/>
        <w:spacing w:before="0" w:after="40" w:line="288" w:lineRule="auto"/>
        <w:ind w:left="0"/>
      </w:pPr>
      <w:r>
        <w:rPr>
          <w:b w:val="0"/>
          <w:sz w:val="21"/>
        </w:rPr>
        <w:t>リスク観点: メモリ逼迫、キュー滞留、長文入力時の遅延悪化、ピーク時の応答品質低下などを明記する。</w:t>
      </w:r>
    </w:p>
    <w:p>
      <w:pPr>
        <w:pStyle w:val="Heading2"/>
        <w:spacing w:before="0" w:after="80" w:line="288" w:lineRule="auto"/>
      </w:pPr>
      <w:r>
        <w:rPr>
          <w:b w:val="0"/>
          <w:color w:val="1F4E79"/>
        </w:rPr>
        <w:t>3-3. 記述例（そのまま差し替え可能）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vAlign w:val="center"/>
            <w:shd w:fill="2F75B5"/>
            <w:shd w:fill="D9EAF7"/>
          </w:tcPr>
          <w:p>
            <w:pPr>
              <w:spacing w:before="20" w:after="20" w:line="264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color w:val="FFFFFF"/>
                <w:sz w:val="20"/>
              </w:rPr>
              <w:t>総合分析の記述例</w:t>
            </w:r>
          </w:p>
        </w:tc>
      </w:tr>
      <w:tr>
        <w:tc>
          <w:tcPr>
            <w:tcW w:type="dxa" w:w="9071"/>
            <w:vAlign w:val="center"/>
            <w:shd w:fill="F7FBFE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本試験の結果、[モデル名] は並列 [xx] までは throughput の伸びが確認できたが、並列 [xx] 以降は output token/s の増加が鈍化し、飽和傾向が見られた。</w:t>
            </w:r>
          </w:p>
        </w:tc>
      </w:tr>
      <w:tr>
        <w:tc>
          <w:tcPr>
            <w:tcW w:type="dxa" w:w="907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一方で TTFT および request遅延は並列 [xx] から悪化が顕著となり、業務利用における体感応答性の観点では [xx] 並列前後が実用上の上限と判断される。</w:t>
            </w:r>
          </w:p>
        </w:tc>
      </w:tr>
      <w:tr>
        <w:tc>
          <w:tcPr>
            <w:tcW w:type="dxa" w:w="9071"/>
            <w:vAlign w:val="center"/>
            <w:shd w:fill="F7FBFE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最大同時利用者数20名を前提とした場合、[モデル名] を [prompt/output 条件] で運用する際の推奨並列レンジは [xx〜yy] である。</w:t>
            </w:r>
          </w:p>
        </w:tc>
      </w:tr>
      <w:tr>
        <w:tc>
          <w:tcPr>
            <w:tcW w:type="dxa" w:w="907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より高い同時収容を優先する場合は [軽量側モデル]、応答品質を優先する場合は [高性能側モデル] を選択する方針が妥当である。</w:t>
            </w:r>
          </w:p>
        </w:tc>
      </w:tr>
      <w:tr>
        <w:tc>
          <w:tcPr>
            <w:tcW w:type="dxa" w:w="9071"/>
            <w:vAlign w:val="center"/>
            <w:shd w:fill="F7FBFE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今後は長文プロンプト条件や実データセット条件を追加し、社内ユースケースに即した再評価を実施することが望ましい。</w:t>
            </w:r>
          </w:p>
        </w:tc>
      </w:tr>
    </w:tbl>
    <w:p/>
    <w:p>
      <w:pPr>
        <w:pStyle w:val="Heading2"/>
        <w:spacing w:before="0" w:after="80" w:line="288" w:lineRule="auto"/>
      </w:pPr>
      <w:r>
        <w:rPr>
          <w:b w:val="0"/>
          <w:color w:val="1F4E79"/>
        </w:rPr>
        <w:t>付録. 実行コマンド記録欄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vAlign w:val="center"/>
            <w:shd w:fill="44546A"/>
            <w:shd w:fill="44546A"/>
          </w:tcPr>
          <w:p>
            <w:pPr>
              <w:spacing w:before="20" w:after="20" w:line="264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color w:val="FFFFFF"/>
                <w:sz w:val="20"/>
              </w:rPr>
              <w:t>コマンド例（編集して利用）</w:t>
            </w:r>
          </w:p>
        </w:tc>
      </w:tr>
      <w:tr>
        <w:tc>
          <w:tcPr>
            <w:tcW w:type="dxa" w:w="9071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guidellm benchmark --target "http://&lt;host&gt;:&lt;port&gt;" --processor &lt;tokenizer_or_model&gt; --request-type text_completions --profile concurrent --rate 1,2,5,10,15,20,30 --data "prompt_tokens=1024,output_tokens=256,samples=2000" --output-dir &lt;result_dir&gt; --outputs json,csv,yaml,console</w:t>
            </w:r>
          </w:p>
        </w:tc>
      </w:tr>
      <w:tr>
        <w:tc>
          <w:tcPr>
            <w:tcW w:type="dxa" w:w="9071"/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※ request-type / endpoint / tokenizer 指定は実環境に合わせて修正すること。</w:t>
            </w:r>
          </w:p>
        </w:tc>
      </w:tr>
      <w:tr>
        <w:tc>
          <w:tcPr>
            <w:tcW w:type="dxa" w:w="9071"/>
            <w:vAlign w:val="center"/>
            <w:shd w:fill="F7FBFE"/>
          </w:tcPr>
          <w:p>
            <w:pPr>
              <w:spacing w:before="20" w:after="20" w:line="264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※ 実施時はモデルごとに結果ディレクトリを分け、実行ログ・エラー・再試行履歴も合わせて保存すること。</w:t>
            </w:r>
          </w:p>
        </w:tc>
      </w:tr>
    </w:tbl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