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Section 3</w:t>
      </w:r>
    </w:p>
    <w:p>
      <w:r>
        <w:t>Acknowledging the role of competition in driving innovation and excellence, it's essential to consider its place within the broader context of leadership and societal advancement. Competition, when harnessed correctly, can indeed stimulate motivation and personal growth. However, the argument for cooperation over competition in preparing young leaders hinges on the unique challenges of the 21st century, which demand collaborative solutions more than ever before.</w:t>
        <w:br/>
        <w:br/>
        <w:t>The counterargument that competition is indispensable for progress overlooks the nuanced reality that many of today’s most pressing issues—such as climate change, global health crises, and social inequality—cannot be solved by individuals or single entities competing against each other. Instead, these challenges require a unified approach, leveraging diverse strengths and perspectives. For instance, the global response to the COVID-19 pandemic highlighted the necessity of international cooperation in vaccine development and distribution, underscoring that collective efforts often yield faster, more equitable solutions than competitive endeavors.</w:t>
        <w:br/>
        <w:br/>
        <w:t>Furthermore, fostering a cooperative mindset does not negate the benefits of healthy competition; rather, it places competition within a framework that emphasizes mutual growth and shared success. By preparing young leaders to value cooperation, we equip them with the ability to lead in a world where the complexities and interconnectedness of global issues necessitate collaborative approaches.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