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Administrative Operations &amp; Baseline Validation</w:t>
      </w:r>
    </w:p>
    <w:p>
      <w:r>
        <w:t>LLD-02-004 | Project Redstone | Northwind Outdoor Ltd.</w:t>
      </w:r>
    </w:p>
    <w:p>
      <w:r>
        <w:t>v0.2 Consolidated Draft | 12 October 2026</w:t>
      </w:r>
    </w:p>
    <w:p>
      <w:r>
        <w:t>This paper governs routine administration, controlled maintenance and mandatory build validation. It owns the access principles and acceptance checklist; commissioning records and final handover are managed in LLD-02-005.</w:t>
      </w:r>
    </w:p>
    <w:p>
      <w:pPr>
        <w:pStyle w:val="Heading1"/>
      </w:pPr>
      <w:r>
        <w:t>Document control</w:t>
      </w:r>
    </w:p>
    <w:tbl>
      <w:tblPr>
        <w:tblW w:type="auto" w:w="0"/>
        <w:jc w:val="center"/>
        <w:tblLayout w:type="fixed"/>
        <w:tblLook w:firstColumn="1" w:firstRow="1" w:lastColumn="0" w:lastRow="0" w:noHBand="0" w:noVBand="1" w:val="04A0"/>
      </w:tblPr>
      <w:tblGrid>
        <w:gridCol w:w="4896"/>
        <w:gridCol w:w="4896"/>
      </w:tblGrid>
      <w:tr>
        <w:trPr>
          <w:tblHeader/>
        </w:trPr>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Field</w:t>
            </w:r>
          </w:p>
        </w:tc>
        <w:tc>
          <w:tcPr>
            <w:tcW w:type="dxa" w:w="748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Value</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Document status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Consolidated draft for review; not a commissioning approval</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Design authority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Q01–Q20 agreed in the Consolidated Design Decision Register</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and reviewers</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Owner: TBD. Proposed reviewers: Linux consultant and relevant dependency design owners</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Change history</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v0.2: consolidated into the five original paper boundaries; agreed decisions preserved</w:t>
            </w:r>
          </w:p>
        </w:tc>
      </w:tr>
      <w:tr>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Classification</w:t>
            </w:r>
          </w:p>
        </w:tc>
        <w:tc>
          <w:tcPr>
            <w:tcW w:type="dxa" w:w="74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Project lab design; editable controlled master</w:t>
            </w:r>
          </w:p>
        </w:tc>
      </w:tr>
      <w:tr>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Approval record</w:t>
            </w:r>
          </w:p>
        </w:tc>
        <w:tc>
          <w:tcPr>
            <w:tcW w:type="dxa" w:w="748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Approver, date and approval reference: TBD</w:t>
            </w:r>
          </w:p>
        </w:tc>
      </w:tr>
    </w:tbl>
    <w:p>
      <w:pPr>
        <w:spacing w:after="40"/>
      </w:pPr>
    </w:p>
    <w:p>
      <w:r>
        <w:t>Status convention: Approved describes the agreed Q01–Q20 design choices. Proposed describes implementation suggestions requiring confirmation. TBD identifies a value or dependency that has not been specified. Draft status does not reopen approved choices or imply that proposed settings are approved.</w:t>
      </w:r>
    </w:p>
    <w:p>
      <w:pPr>
        <w:pStyle w:val="Heading1"/>
      </w:pPr>
      <w:r>
        <w:t>Scope and paper boundaries</w:t>
      </w:r>
    </w:p>
    <w:tbl>
      <w:tblPr>
        <w:tblW w:type="auto" w:w="0"/>
        <w:jc w:val="center"/>
        <w:tblLayout w:type="fixed"/>
        <w:tblLook w:firstColumn="1" w:firstRow="1" w:lastColumn="0" w:lastRow="0" w:noHBand="0" w:noVBand="1" w:val="04A0"/>
      </w:tblPr>
      <w:tblGrid>
        <w:gridCol w:w="4896"/>
        <w:gridCol w:w="4896"/>
      </w:tblGrid>
      <w:tr>
        <w:trPr>
          <w:tblHeader/>
        </w:trPr>
        <w:tc>
          <w:tcPr>
            <w:tcW w:type="dxa" w:w="187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Paper</w:t>
            </w:r>
          </w:p>
        </w:tc>
        <w:tc>
          <w:tcPr>
            <w:tcW w:type="dxa" w:w="777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responsibility</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LLD-02-001</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RHEL Server Build Standard</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LLD-02-002</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Operating System Installation &amp; Provisioning</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System Configuration &amp; Service Management</w:t>
            </w:r>
          </w:p>
        </w:tc>
      </w:tr>
      <w:tr>
        <w:tc>
          <w:tcPr>
            <w:tcW w:type="dxa" w:w="187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77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Operations &amp; Baseline Validation</w:t>
            </w:r>
          </w:p>
        </w:tc>
      </w:tr>
      <w:tr>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77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Server Commissioning &amp; Build Documentation</w:t>
            </w:r>
          </w:p>
        </w:tc>
      </w:tr>
    </w:tbl>
    <w:p>
      <w:pPr>
        <w:spacing w:after="40"/>
      </w:pPr>
    </w:p>
    <w:p>
      <w:r>
        <w:t>The decision text below is authoritative only in its owning paper. Other papers reference it for implementation and evidence. Service and role designs remain owned by their respective LLDs; an OS build does not constitute acceptance of those services.</w:t>
      </w:r>
    </w:p>
    <w:p>
      <w:pPr>
        <w:pStyle w:val="Heading1"/>
      </w:pPr>
      <w:r>
        <w:t>Approved decisions owned by this paper</w:t>
      </w:r>
    </w:p>
    <w:p>
      <w:pPr>
        <w:pStyle w:val="Heading2"/>
      </w:pPr>
      <w:r>
        <w:t>Q12 How should routine administrative access be provided?</w:t>
      </w:r>
    </w:p>
    <w:p>
      <w:r>
        <w:t>Approved: Named local administrator accounts, sudo and SSH key authentication. Direct root SSH access shall be disabled. Centralised identity management is deferred until justified by the environment's scale and requirements.</w:t>
      </w:r>
    </w:p>
    <w:p>
      <w:pPr>
        <w:pStyle w:val="Heading2"/>
      </w:pPr>
      <w:r>
        <w:t>Q13 Should the root account remain available?</w:t>
      </w:r>
    </w:p>
    <w:p>
      <w:r>
        <w:t>Approved: Yes, for emergency console recovery. Maintain a strong, protected local root password. Routine administration shall use named accounts and sudo; direct root SSH remains disabled.</w:t>
      </w:r>
    </w:p>
    <w:p>
      <w:pPr>
        <w:pStyle w:val="Heading2"/>
      </w:pPr>
      <w:r>
        <w:t>Q18 How should completed RHEL builds be verified?</w:t>
      </w:r>
    </w:p>
    <w:p>
      <w:r>
        <w:t>Approved: Mandatory documented server build acceptance checklist. Verify OS identity, hostname, CPU, memory, block devices, LVM, network interfaces, routes, DNS, time, services, SELinux, firewalld, accounts, sudo, repositories, updates and logging. Capture evidence in the implementation NIM.</w:t>
      </w:r>
    </w:p>
    <w:p>
      <w:pPr>
        <w:pStyle w:val="Heading2"/>
      </w:pPr>
      <w:r>
        <w:t>Q20 How should changes to commissioned server configurations be controlled?</w:t>
      </w:r>
    </w:p>
    <w:p>
      <w:r>
        <w:t>Approved: Lightweight documented change control. Record, assess, prepare, implement, validate and document changes. Use Jira for tracking and GitHub for version-controlled documentation. Routine low-risk changes may follow predefined standard procedures.</w:t>
      </w:r>
    </w:p>
    <w:p>
      <w:pPr>
        <w:pStyle w:val="Heading1"/>
      </w:pPr>
      <w:r>
        <w:t>Administrative access and recovery</w:t>
      </w:r>
    </w:p>
    <w:p>
      <w:r>
        <w:t>Use named local administrator accounts with SSH keys and sudo. Record account ownership, public-key fingerprint, authorized purpose and review status. Centralized identity remains deferred. LLD-07 must confirm detailed SSH authentication settings, allowed users, source restrictions and privilege scope; key-based access alone does not decide all SSH policy settings.</w:t>
      </w:r>
    </w:p>
    <w:p>
      <w:pPr>
        <w:pStyle w:val="Code"/>
      </w:pPr>
      <w:r>
        <w:t>id &lt;administrator&gt;</w:t>
      </w:r>
    </w:p>
    <w:p>
      <w:pPr>
        <w:pStyle w:val="Code"/>
      </w:pPr>
      <w:r>
        <w:t>sudo -l</w:t>
      </w:r>
    </w:p>
    <w:p>
      <w:pPr>
        <w:pStyle w:val="Code"/>
      </w:pPr>
      <w:r>
        <w:t>sudo sshd -t</w:t>
      </w:r>
    </w:p>
    <w:p>
      <w:pPr>
        <w:pStyle w:val="Code"/>
      </w:pPr>
      <w:r>
        <w:t>sudo sshd -T</w:t>
      </w:r>
    </w:p>
    <w:p>
      <w:pPr>
        <w:pStyle w:val="Code"/>
      </w:pPr>
      <w:r>
        <w:t>sudo visudo -c</w:t>
      </w:r>
    </w:p>
    <w:p>
      <w:r>
        <w:t>Direct root SSH must be disabled: verify effective PermitRootLogin no, including any Match blocks applicable to the tested user and source. Keep the protected local root password available for emergency console recovery. Do not lock the recovery account merely to enforce the SSH restriction. Record the credential custody location without including the secret in build evidence.</w:t>
      </w:r>
    </w:p>
    <w:p>
      <w:r>
        <w:t>Before SSH changes, retain console access and a working session, validate syntax, reload only after successful validation, then test a new named-user session and sudo. For proposed wheel-based administration, confirm its privilege scope with LLD-07 rather than treating unrestricted sudo as an approved value. Account departure requires removal of access and review of shared dependencies through change control.</w:t>
      </w:r>
    </w:p>
    <w:p>
      <w:pPr>
        <w:pStyle w:val="Heading1"/>
      </w:pPr>
      <w:r>
        <w:t>Controlled patch maintenance</w:t>
      </w:r>
    </w:p>
    <w:p>
      <w:r>
        <w:t>1. Review automatic detection output and repository health. Record available updates and the reason for the change in Jira. Confirm business impact, dependencies and an approved maintenance window.</w:t>
      </w:r>
    </w:p>
    <w:p>
      <w:r>
        <w:t>2. Prepare console recovery, a known configuration baseline and the LLD-09 recovery method. Identify changes that affect kernel, networking, SSH or firewall behavior. A VM snapshot is not automatically an adequate backup.</w:t>
      </w:r>
    </w:p>
    <w:p>
      <w:r>
        <w:t>3. Capture pre-change service, connectivity, disk capacity and package state. Apply the selected manual update transaction; retain transaction results.</w:t>
      </w:r>
    </w:p>
    <w:p>
      <w:r>
        <w:t>4. Reboot where required by the changed components and maintenance plan. Verify the running kernel, time, management access, services and role connectivity.</w:t>
      </w:r>
    </w:p>
    <w:p>
      <w:r>
        <w:t>5. Record validation, remaining issues and recovery actions. Update the configuration record in GitHub and close the Jira change only when its acceptance criteria are satisfied.</w:t>
      </w:r>
    </w:p>
    <w:p>
      <w:pPr>
        <w:pStyle w:val="Code"/>
      </w:pPr>
      <w:r>
        <w:t>sudo dnf check-update</w:t>
      </w:r>
    </w:p>
    <w:p>
      <w:pPr>
        <w:pStyle w:val="Code"/>
      </w:pPr>
      <w:r>
        <w:t>sudo dnf update</w:t>
      </w:r>
    </w:p>
    <w:p>
      <w:pPr>
        <w:pStyle w:val="Code"/>
      </w:pPr>
      <w:r>
        <w:t>sudo dnf history info last</w:t>
      </w:r>
    </w:p>
    <w:p>
      <w:pPr>
        <w:pStyle w:val="Code"/>
      </w:pPr>
      <w:r>
        <w:t>uname -r</w:t>
      </w:r>
    </w:p>
    <w:p>
      <w:pPr>
        <w:pStyle w:val="Code"/>
      </w:pPr>
      <w:r>
        <w:t>systemctl --failed</w:t>
      </w:r>
    </w:p>
    <w:p>
      <w:pPr>
        <w:pStyle w:val="Code"/>
      </w:pPr>
      <w:r>
        <w:t>journalctl -b -p warning</w:t>
      </w:r>
    </w:p>
    <w:p>
      <w:r>
        <w:t>These are manual command examples, not approval for an unreviewed update. DNF history can describe a transaction but does not guarantee a successful downgrade or recovery. Use the approved LLD-09 restore or rebuild method if rollback cannot safely restore service.</w:t>
      </w:r>
    </w:p>
    <w:p>
      <w:pPr>
        <w:pStyle w:val="Heading1"/>
      </w:pPr>
      <w:r>
        <w:t>Mandatory server build acceptance checklist</w:t>
      </w:r>
    </w:p>
    <w:p>
      <w:r>
        <w:t>Complete one checklist per server. Record Pass, Fail or approved Not Applicable with actual evidence, tester, timestamp and any deviation reference. Pending and unexecuted tests are not passes. Capture evidence in the implementation NIM; the exact local record naming convention is TBD.</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65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Check</w:t>
            </w:r>
          </w:p>
        </w:tc>
        <w:tc>
          <w:tcPr>
            <w:tcW w:type="dxa" w:w="381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Evidence method</w:t>
            </w:r>
          </w:p>
        </w:tc>
        <w:tc>
          <w:tcPr>
            <w:tcW w:type="dxa" w:w="417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Acceptance criterion</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OS identity</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cat /etc/os-release; uname -r</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RHEL 10 and running kernel match the recorded build</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Hostname</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hostnamectl; hostname -f</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Role FQDN and name resolution match approved records</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and memory</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lscpu; free -h</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Matches LLD-01 allocation</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Block devices and filesystems</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lsblk -f; findmnt; df -h</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Correct disk, mount points and usable capacity</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LVM and swap</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pvs; vgs; lvs; swapon --show</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Matches recorded layout; free VG capacity verified</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Interfaces and profiles</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nmcli device status; nmcli connection show</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Correct NIC identity and persistent profiles</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Addresses and routes</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ip -br address; ip route</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Matches LLD-06 role addressing and routing</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DNS</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getent hosts &lt;approved-name&gt;</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Approved DNS or recorded temporary resolution works</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Time</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chronyc tracking; chronyc sources -v</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Synchronized to approved normal or temporary source</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Services</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systemctl --failed; systemctl status &lt;unit&gt;</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Required services healthy and exceptions recorded</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SELinux</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getenforce; sestatus</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Enforcing; relevant role tests show no unresolved denials</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Host firewall</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firewall-cmd runtime and permanent inspection</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Active role policy; approved access works and denied traffic is blocked</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Accounts and SSH</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id; sshd -t; sshd -T; fresh SSH session</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Named key access works; direct root SSH prohibited</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Sudo and root recovery</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sudo -l; visudo -c; controlled console test</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Authorized privilege works and recovery is available</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Repositories</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subscription-manager identity; dnf repolist</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Direct registration and official repository access verified</w:t>
            </w:r>
          </w:p>
        </w:tc>
      </w:tr>
      <w:tr>
        <w:tc>
          <w:tcPr>
            <w:tcW w:type="dxa" w:w="165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Updates</w:t>
            </w:r>
          </w:p>
        </w:tc>
        <w:tc>
          <w:tcPr>
            <w:tcW w:type="dxa" w:w="381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dnf check-update; dnf history info last</w:t>
            </w:r>
          </w:p>
        </w:tc>
        <w:tc>
          <w:tcPr>
            <w:tcW w:type="dxa" w:w="417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Detection verified and approved update transaction recorded</w:t>
            </w:r>
          </w:p>
        </w:tc>
      </w:tr>
      <w:tr>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Logging</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journalctl --list-boots; journalctl --disk-usage</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Persistent logs survive reboot; storage bounds recorded</w:t>
            </w:r>
          </w:p>
        </w:tc>
      </w:tr>
    </w:tbl>
    <w:p>
      <w:pPr>
        <w:spacing w:after="40"/>
      </w:pPr>
    </w:p>
    <w:p>
      <w:pPr>
        <w:pStyle w:val="Heading1"/>
      </w:pPr>
      <w:r>
        <w:t>Role tests and persistence</w:t>
      </w:r>
    </w:p>
    <w:p>
      <w:r>
        <w:t>FW01: verify external and internal NIC mapping, approved VLAN reachability, intended routes, outbound NAT and boundary enforcement using LLD-06 test cases. Confirm management access only from approved paths. Test denied traffic as well as successful traffic. These functional results are additional to OS checks and must not be inferred from firewalld being active.</w:t>
      </w:r>
    </w:p>
    <w:p>
      <w:r>
        <w:t>JUMP01: verify the intended administrator entry path, allowed onward access and denial of unapproved sources or identities under LLD-07. Confirm the resulting permissions and logging. Avoid presenting unrestricted SSH reachability as evidence of a controlled jump host.</w:t>
      </w:r>
    </w:p>
    <w:p>
      <w:r>
        <w:t>Perform a planned reboot and repeat management, networking, service, SELinux, firewall and journal checks. Test dependency failures only within an approved plan: loss of DNS/NTP or the management path must have a documented recovery route. Maintain separate results for bootstrap and final CORE01-dependent operation.</w:t>
      </w:r>
    </w:p>
    <w:p>
      <w:pPr>
        <w:pStyle w:val="Heading1"/>
      </w:pPr>
      <w:r>
        <w:t>Troubleshooting and drift review</w:t>
      </w:r>
    </w:p>
    <w:p>
      <w:r>
        <w:t>Preserve symptoms, timestamps and logs before making changes. Compare actual configuration to the controlled baseline, then isolate identity, connectivity, time, service, policy and capacity causes. For SELinux use denial and context evidence; for services inspect unit state and journal; for networking verify link, profile, routes and name resolution separately. Fix the cause and validate persistence instead of bypassing the control.</w:t>
      </w:r>
    </w:p>
    <w:p>
      <w:pPr>
        <w:pStyle w:val="Code"/>
      </w:pPr>
      <w:r>
        <w:t>journalctl -b -u &lt;unit&gt;</w:t>
      </w:r>
    </w:p>
    <w:p>
      <w:pPr>
        <w:pStyle w:val="Code"/>
      </w:pPr>
      <w:r>
        <w:t>systemctl status &lt;unit&gt;</w:t>
      </w:r>
    </w:p>
    <w:p>
      <w:pPr>
        <w:pStyle w:val="Code"/>
      </w:pPr>
      <w:r>
        <w:t>sudo ausearch -m AVC,USER_AVC -ts recent</w:t>
      </w:r>
    </w:p>
    <w:p>
      <w:pPr>
        <w:pStyle w:val="Code"/>
      </w:pPr>
      <w:r>
        <w:t>ls -lZ &lt;path&gt;</w:t>
      </w:r>
    </w:p>
    <w:p>
      <w:pPr>
        <w:pStyle w:val="Code"/>
      </w:pPr>
      <w:r>
        <w:t>ss -lntup</w:t>
      </w:r>
    </w:p>
    <w:p>
      <w:r>
        <w:t>Tools such as ausearch may require the relevant audit package. Drift checks compare effective settings, package changes and service state to the recorded baseline. Review frequency is TBD; each maintenance change must still validate its affected controls.</w:t>
      </w:r>
    </w:p>
    <w:p>
      <w:pPr>
        <w:pStyle w:val="Heading1"/>
      </w:pPr>
      <w:r>
        <w:t>Lightweight change control</w:t>
      </w:r>
    </w:p>
    <w:p>
      <w:r>
        <w:t>Record, assess, prepare, implement, validate and document each commissioned configuration change. Jira tracks the work and GitHub versions documentation. Routine low-risk changes may use a predefined standard procedure once its scope, prerequisites, validation and recovery steps are defined. A failed validation triggers the prepared recovery response and an updated change record; it is not closed as successful.</w:t>
      </w:r>
    </w:p>
    <w:p>
      <w:pPr>
        <w:pStyle w:val="Heading1"/>
      </w:pPr>
      <w:r>
        <w:t>Dependencies and implementation gates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08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Design</w:t>
            </w:r>
          </w:p>
        </w:tc>
        <w:tc>
          <w:tcPr>
            <w:tcW w:type="dxa" w:w="39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Ownership</w:t>
            </w:r>
          </w:p>
        </w:tc>
        <w:tc>
          <w:tcPr>
            <w:tcW w:type="dxa" w:w="460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Required input</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LLD-01</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VM specifications, hypervisor configuration and storage allocation</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CPU, RAM, firmware, virtual NIC mapping and disk presentation</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LLD-06</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VLANs, IP addressing, routing, DNS dependencies and firewall connectivity</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FW01 interfaces, VLANs, routing, NAT, policy and temporary DNS</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LLD-07</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Administrative access, SSH and identity management</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Administrator identities, source restrictions, SSH settings and privileges</w:t>
            </w:r>
          </w:p>
        </w:tc>
      </w:tr>
      <w:tr>
        <w:tc>
          <w:tcPr>
            <w:tcW w:type="dxa" w:w="108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w:t>
            </w:r>
          </w:p>
        </w:tc>
        <w:tc>
          <w:tcPr>
            <w:tcW w:type="dxa" w:w="39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Backup, recovery and rebuild requirements</w:t>
            </w:r>
          </w:p>
        </w:tc>
        <w:tc>
          <w:tcPr>
            <w:tcW w:type="dxa" w:w="460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prerequisites, backup scope and restore verification</w:t>
            </w:r>
          </w:p>
        </w:tc>
      </w:tr>
      <w:t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LLD-12</w:t>
            </w:r>
          </w:p>
        </w:tc>
        <w:tc>
          <w:tcPr>
            <w:tcW w:type="dxa" w:w="39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Detailed operating system security hardening</w:t>
            </w:r>
          </w:p>
        </w:tc>
        <w:tc>
          <w:tcPr>
            <w:tcW w:type="dxa" w:w="46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Hardening values, exceptions and security validation</w:t>
            </w:r>
          </w:p>
        </w:tc>
      </w:tr>
    </w:tbl>
    <w:p>
      <w:pPr>
        <w:spacing w:after="40"/>
      </w:pPr>
    </w:p>
    <w:p>
      <w:r>
        <w:t>LLD-07 supplies access acceptance values, LLD-06 supplies connectivity tests, LLD-12 supplies detailed security criteria, LLD-09 supplies recovery, and LLD-01 supplies hardware acceptance values. Missing criteria remain pending and are escalated through commissioning disposition.</w:t>
      </w:r>
    </w:p>
    <w:p>
      <w:pPr>
        <w:pStyle w:val="Heading1"/>
      </w:pPr>
      <w:r>
        <w:t>Traceability and unresolved settings</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1152"/>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Decision</w:t>
            </w:r>
          </w:p>
        </w:tc>
        <w:tc>
          <w:tcPr>
            <w:tcW w:type="dxa" w:w="2160"/>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Authoritative paper</w:t>
            </w:r>
          </w:p>
        </w:tc>
        <w:tc>
          <w:tcPr>
            <w:tcW w:type="dxa" w:w="633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Use in this paper</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Q07</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Q12</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Q13</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Q14</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Q15</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Q16</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Q17</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LLD-02-003</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Q18</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r>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Q19</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LLD-02-005</w:t>
            </w:r>
          </w:p>
        </w:tc>
        <w:tc>
          <w:tcPr>
            <w:tcW w:type="dxa" w:w="63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Referenced prerequisite or evidence</w:t>
            </w:r>
          </w:p>
        </w:tc>
      </w:tr>
      <w:tr>
        <w:tc>
          <w:tcPr>
            <w:tcW w:type="dxa" w:w="115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Q20</w:t>
            </w:r>
          </w:p>
        </w:tc>
        <w:tc>
          <w:tcPr>
            <w:tcW w:type="dxa" w:w="2160"/>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LLD-02-004</w:t>
            </w:r>
          </w:p>
        </w:tc>
        <w:tc>
          <w:tcPr>
            <w:tcW w:type="dxa" w:w="633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Specification</w:t>
            </w:r>
          </w:p>
        </w:tc>
      </w:tr>
    </w:tbl>
    <w:p>
      <w:pPr>
        <w:spacing w:after="40"/>
      </w:pP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3024"/>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Open item</w:t>
            </w:r>
          </w:p>
        </w:tc>
        <w:tc>
          <w:tcPr>
            <w:tcW w:type="dxa" w:w="1296"/>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Status</w:t>
            </w:r>
          </w:p>
        </w:tc>
        <w:tc>
          <w:tcPr>
            <w:tcW w:type="dxa" w:w="5328"/>
            <w:vAlign w:val="center"/>
            <w:shd w:fill="E4EA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18"/>
              </w:rPr>
              <w:t>Resolution requirement</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Maintenance and review cadence</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Agree operational ownership and schedule</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SSH and privilege restrictions</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LLD-07 effective settings</w:t>
            </w:r>
          </w:p>
        </w:tc>
      </w:tr>
      <w:t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Recovery procedure</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LLD-09 verified restore or rebuild plan</w:t>
            </w:r>
          </w:p>
        </w:tc>
      </w:tr>
      <w:tr>
        <w:tc>
          <w:tcPr>
            <w:tcW w:type="dxa" w:w="302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Acceptance tester and results</w:t>
            </w:r>
          </w:p>
        </w:tc>
        <w:tc>
          <w:tcPr>
            <w:tcW w:type="dxa" w:w="1296"/>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TBD</w:t>
            </w:r>
          </w:p>
        </w:tc>
        <w:tc>
          <w:tcPr>
            <w:tcW w:type="dxa" w:w="53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18"/>
              </w:rPr>
              <w:t>Execute server-specific checklist</w:t>
            </w:r>
          </w:p>
        </w:tc>
      </w:tr>
    </w:tbl>
    <w:p>
      <w:pPr>
        <w:spacing w:after="40"/>
      </w:pPr>
    </w:p>
    <w:p>
      <w:r>
        <w:t>Resolve open implementation values through the responsible dependency or configuration baseline. Record the result and its reference; do not silently substitute a proposed value. A deviation from an approved decision requires explicit exception handling under LLD-02-005.</w:t>
      </w:r>
    </w:p>
    <w:p>
      <w:pPr>
        <w:pStyle w:val="Heading1"/>
      </w:pPr>
      <w:r>
        <w:t>References</w:t>
      </w:r>
    </w:p>
    <w:p>
      <w:r>
        <w:t>Project authority: LLD-02 Consolidated Design Decision Register, Project Redstone / Northwind Outdoor Ltd., Q01–Q20 and supporting requirements. Dependency identifiers refer to design responsibilities; their detailed configuration values remain to be confirmed.</w:t>
      </w:r>
    </w:p>
    <w:p>
      <w:r>
        <w:t>Technical reference: Red Hat Enterprise Linux 10 product documentation, https://docs.redhat.com/en/documentation/red_hat_enterprise_linux/10. Verify command availability and effective configuration on the installed minor release. Examples are implementation guidance, not records of executed changes.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LLD-02-004 | v0.2 Consolidated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Administrative Operations &amp; Baseline Validation</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0.2</cp:version>
</cp:coreProperties>
</file>