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RHEL Server Build Standard</w:t>
      </w:r>
    </w:p>
    <w:p>
      <w:r>
        <w:t>LLD-02-001 | Project Redstone | Northwind Outdoor Ltd.</w:t>
      </w:r>
    </w:p>
    <w:p>
      <w:r>
        <w:t>v0.2 Consolidated Draft | 12 October 2026</w:t>
      </w:r>
    </w:p>
    <w:p>
      <w:r>
        <w:t>This paper defines the common RHEL build contract for the initial FW01 and JUMP01 servers. It fixes the approved platform choices and governs role-specific exceptions so future Northwind servers can inherit a consistent baseline.</w:t>
      </w:r>
    </w:p>
    <w:p>
      <w:pPr>
        <w:pStyle w:val="Heading1"/>
      </w:pPr>
      <w:r>
        <w:t>Document control</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Value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status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Consolidated draft for review; not a commissioning approval</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authority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Q01–Q20 agreed in the Consolidated Design Decision Register</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and reviewers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TBD. Proposed reviewers: Linux consultant and relevant dependency design owners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Change history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v0.2: consolidated into the five original paper boundaries; agreed decisions preserved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Classification</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lab design; editable controlled master</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Approval record</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Approver, date and approval reference: TBD</w:t>
            </w:r>
          </w:p>
        </w:tc>
      </w:tr>
    </w:tbl>
    <w:p>
      <w:pPr>
        <w:spacing w:after="40"/>
      </w:pPr>
    </w:p>
    <w:p>
      <w:r>
        <w:t>Status convention: Approved describes the agreed Q01–Q20 design choices. Proposed describes implementation suggestions requiring confirmation. TBD identifies a value or dependency that has not been specified. Draft status does not reopen approved choices or imply that proposed settings are approved.</w:t>
      </w:r>
    </w:p>
    <w:p>
      <w:pPr>
        <w:pStyle w:val="Heading1"/>
      </w:pPr>
      <w:r>
        <w:t>Scope and paper boundaries</w:t>
      </w:r>
    </w:p>
    <w:tbl>
      <w:tblPr>
        <w:tblW w:type="auto" w:w="0"/>
        <w:jc w:val="center"/>
        <w:tblLayout w:type="fixed"/>
        <w:tblLook w:firstColumn="1" w:firstRow="1" w:lastColumn="0" w:lastRow="0" w:noHBand="0" w:noVBand="1" w:val="04A0"/>
      </w:tblPr>
      <w:tblGrid>
        <w:gridCol w:w="4896"/>
        <w:gridCol w:w="4896"/>
      </w:tblGrid>
      <w:tr>
        <w:trPr>
          <w:tblHeader/>
        </w:trPr>
        <w:tc>
          <w:tcPr>
            <w:tcW w:type="dxa" w:w="187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Paper</w:t>
            </w:r>
          </w:p>
        </w:tc>
        <w:tc>
          <w:tcPr>
            <w:tcW w:type="dxa" w:w="77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responsibility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Server Build Standard</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 Installation &amp; Provisioning</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 Configuration &amp; Service Management</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Operations &amp; Baseline Validation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Commissioning &amp; Build Documentation</w:t>
            </w:r>
          </w:p>
        </w:tc>
      </w:tr>
    </w:tbl>
    <w:p>
      <w:pPr>
        <w:spacing w:after="40"/>
      </w:pPr>
    </w:p>
    <w:p>
      <w:r>
        <w:t>The decision text below is authoritative only in its owning paper. Other papers reference it for implementation and evidence. Service and role designs remain owned by their respective LLDs; an OS build does not constitute acceptance of those services.</w:t>
      </w:r>
    </w:p>
    <w:p>
      <w:pPr>
        <w:pStyle w:val="Heading1"/>
      </w:pPr>
      <w:r>
        <w:t>Approved decisions owned by this paper</w:t>
      </w:r>
    </w:p>
    <w:p>
      <w:pPr>
        <w:pStyle w:val="Heading2"/>
      </w:pPr>
      <w:r>
        <w:t>Q01 Should Northwind use a common operating system baseline or configure each server independently?</w:t>
      </w:r>
    </w:p>
    <w:p>
      <w:r>
        <w:t>Approved: Common RHEL baseline with documented role-specific exceptions. FW01 and JUMP01 shall share standard OS configuration wherever practical, with deviations justified by their functions.</w:t>
      </w:r>
    </w:p>
    <w:p>
      <w:pPr>
        <w:pStyle w:val="Heading2"/>
      </w:pPr>
      <w:r>
        <w:t>Q02 Which RHEL installation profile should be standard?</w:t>
      </w:r>
    </w:p>
    <w:p>
      <w:r>
        <w:t>Approved: RHEL 10 Minimal Install. Command-line administration is the default. Graphical environments are not required unless a future business requirement justifies an exception.</w:t>
      </w:r>
    </w:p>
    <w:p>
      <w:pPr>
        <w:pStyle w:val="Heading2"/>
      </w:pPr>
      <w:r>
        <w:t>Q03 How should the initial RHEL servers be installed?</w:t>
      </w:r>
    </w:p>
    <w:p>
      <w:r>
        <w:t>Approved: Manual installation of each VM. This supports RHCSA learning and practical understanding of the installation process. Consistency shall be maintained through documented procedures. Kickstart and templates are deferred.</w:t>
      </w:r>
    </w:p>
    <w:p>
      <w:pPr>
        <w:pStyle w:val="Heading2"/>
      </w:pPr>
      <w:r>
        <w:t>Q04 What storage architecture should be used for the operating system?</w:t>
      </w:r>
    </w:p>
    <w:p>
      <w:r>
        <w:t>Approved: Simple LVM-based storage. Use standard RHEL filesystems and avoid unnecessary partition complexity.</w:t>
      </w:r>
    </w:p>
    <w:p>
      <w:pPr>
        <w:pStyle w:val="Heading2"/>
      </w:pPr>
      <w:r>
        <w:t>Q05 What initial operating system disk allocation should FW01 and JUMP01 receive?</w:t>
      </w:r>
    </w:p>
    <w:p>
      <w:r>
        <w:t>Approved: 40 GiB virtual OS disk per server. Proposed layout: approximately 600 MiB EFI partition if using UEFI, 1 GiB /boot, 25 GiB root LV, 2 GiB swap LV, and approximately 11 GiB free volume group capacity. Exact allocations require verification.</w:t>
      </w:r>
    </w:p>
    <w:p>
      <w:pPr>
        <w:pStyle w:val="Heading1"/>
      </w:pPr>
      <w:r>
        <w:t>Common technical build specification</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0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Attribute</w:t>
            </w:r>
          </w:p>
        </w:tc>
        <w:tc>
          <w:tcPr>
            <w:tcW w:type="dxa" w:w="626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Specification</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r>
      <w:t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10, Minimal Install; minor release and ISO checksum to be recorded</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 value TBD</w:t>
            </w:r>
          </w:p>
        </w:tc>
      </w:tr>
      <w:tr>
        <w:tc>
          <w:tcPr>
            <w:tcW w:type="dxa" w:w="20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Administration interface</w:t>
            </w:r>
          </w:p>
        </w:tc>
        <w:tc>
          <w:tcPr>
            <w:tcW w:type="dxa" w:w="62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Command line; GUI only with a justified future exception</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Q02</w:t>
            </w:r>
          </w:p>
        </w:tc>
      </w:tr>
      <w:t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Provisioning method</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Manual VM installation; Kickstart and templates deferred</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Q03</w:t>
            </w:r>
          </w:p>
        </w:tc>
      </w:tr>
      <w:tr>
        <w:tc>
          <w:tcPr>
            <w:tcW w:type="dxa" w:w="20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OS disk</w:t>
            </w:r>
          </w:p>
        </w:tc>
        <w:tc>
          <w:tcPr>
            <w:tcW w:type="dxa" w:w="62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40 GiB per FW01 and JUMP01 VM</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Q05</w:t>
            </w:r>
          </w:p>
        </w:tc>
      </w:tr>
      <w:t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Storage</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Simple LVM with standard RHEL filesystems</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Q04</w:t>
            </w:r>
          </w:p>
        </w:tc>
      </w:tr>
      <w:tr>
        <w:tc>
          <w:tcPr>
            <w:tcW w:type="dxa" w:w="20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and memory</w:t>
            </w:r>
          </w:p>
        </w:tc>
        <w:tc>
          <w:tcPr>
            <w:tcW w:type="dxa" w:w="62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Values supplied by LLD-01, not defined here</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Firmware and architecture</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 to confirm guest compatibility and firmware</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r>
        <w:tc>
          <w:tcPr>
            <w:tcW w:type="dxa" w:w="20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Filesystem selection</w:t>
            </w:r>
          </w:p>
        </w:tc>
        <w:tc>
          <w:tcPr>
            <w:tcW w:type="dxa" w:w="62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XFS for root and /boot; FAT EFI system partition with UEFI</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r>
      <w:t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LV and VG names</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vg_os, lv_root and lv_swap</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r>
    </w:tbl>
    <w:p>
      <w:pPr>
        <w:spacing w:after="40"/>
      </w:pPr>
    </w:p>
    <w:p>
      <w:pPr>
        <w:pStyle w:val="Heading1"/>
      </w:pPr>
      <w:r>
        <w:t>Storage allocation and growth</w:t>
      </w:r>
    </w:p>
    <w:p>
      <w:r>
        <w:t>Q05 fixes the disk size, while its partition layout is explicitly proposed. A 40 GiB disk with 600 MiB EFI, 1 GiB /boot, 25 GiB root and 2 GiB swap leaves approximately 11.4 GiB before partition alignment and LVM metadata. Therefore, approximately 11 GiB free VG capacity is a target to verify, not an exact allocation. BIOS firmware requires a different boot arrangement and must not inherit an EFI partition blindly.</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Component</w:t>
            </w:r>
          </w:p>
        </w:tc>
        <w:tc>
          <w:tcPr>
            <w:tcW w:type="dxa" w:w="316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Proposed allocation</w:t>
            </w:r>
          </w:p>
        </w:tc>
        <w:tc>
          <w:tcPr>
            <w:tcW w:type="dxa" w:w="432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Purpose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EFI system partition</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About 600 MiB, UEFI only</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Firmware boot files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/boot</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1 GiB</w:t>
            </w:r>
          </w:p>
        </w:tc>
        <w:tc>
          <w:tcPr>
            <w:tcW w:type="dxa" w:w="432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Kernel and boot loader files</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Root LV</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25 GiB</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OS, local state and standard directories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Swap LV</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2 GiB</w:t>
            </w:r>
          </w:p>
        </w:tc>
        <w:tc>
          <w:tcPr>
            <w:tcW w:type="dxa" w:w="432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Swap; suitability depends on RAM and workload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Free VG capacity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About 11 GiB, verified after installation</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Controlled future growth</w:t>
            </w:r>
          </w:p>
        </w:tc>
      </w:tr>
    </w:tbl>
    <w:p>
      <w:pPr>
        <w:spacing w:after="40"/>
      </w:pPr>
    </w:p>
    <w:p>
      <w:r>
        <w:t>Do not allocate the entire VG to root during installation. Record actual extents and free space. Separate application storage, additional log volumes and larger swap are future role requirements, not automatic additions to this baseline. Evaluate capacity before creating any extra filesystem; LLD-01 controls disk provisioning and LLD-09 controls recoverability.</w:t>
      </w:r>
    </w:p>
    <w:p>
      <w:pPr>
        <w:pStyle w:val="Heading1"/>
      </w:pPr>
      <w:r>
        <w:t>Server roles and exceptions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Server</w:t>
            </w:r>
          </w:p>
        </w:tc>
        <w:tc>
          <w:tcPr>
            <w:tcW w:type="dxa" w:w="38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Baseline inheritance</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Role-specific design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Same RHEL Minimal, LVM, accounts, time and logging baseline</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External and internal interfaces, VLANs, routing, boundary enforcement and outbound NAT from LLD-06; controlled management access</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JUMP01</w:t>
            </w:r>
          </w:p>
        </w:tc>
        <w:tc>
          <w:tcPr>
            <w:tcW w:type="dxa" w:w="38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Same OS and operational baseline</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Controlled administrative entry path; SSH authentication, privilege and access restrictions from LLD-07</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Future servers</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CORE01, OPS01, BACKUP01 and FILE01 inherit the baseline</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Additional packages, data storage and services justified by their business roles</w:t>
            </w:r>
          </w:p>
        </w:tc>
      </w:tr>
    </w:tbl>
    <w:p>
      <w:pPr>
        <w:spacing w:after="40"/>
      </w:pPr>
    </w:p>
    <w:p>
      <w:r>
        <w:t>An exception record identifies the baseline clause, business and technical reason, security and operational effects, compensating controls, approver and expiry or review date. FW01 routing is an expected role distinction, but its settings must still be recorded. The existence of a different role is not permission to weaken the shared OS controls.</w:t>
      </w:r>
    </w:p>
    <w:p>
      <w:pPr>
        <w:pStyle w:val="Heading1"/>
      </w:pPr>
      <w:r>
        <w:t>Dependencies and implementation gates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08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Design</w:t>
            </w:r>
          </w:p>
        </w:tc>
        <w:tc>
          <w:tcPr>
            <w:tcW w:type="dxa" w:w="39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Ownership</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input</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specifications, hypervisor configuration and storage allocation</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virtual NIC mapping and disk presentation</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VLANs, IP addressing, routing, DNS dependencies and firewall connectivity</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interfaces, VLANs, routing, NAT, policy and temporary DNS</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access, SSH and identity management</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identities, source restrictions, SSH settings and privileges</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Backup, recovery and rebuild requirements</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prerequisites, backup scope and restore verification</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operating system security hardening</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Hardening values, exceptions and security validation</w:t>
            </w:r>
          </w:p>
        </w:tc>
      </w:tr>
    </w:tbl>
    <w:p>
      <w:pPr>
        <w:spacing w:after="40"/>
      </w:pPr>
    </w:p>
    <w:p>
      <w:r>
        <w:t>Before creating VMs, confirm CPU, memory, guest architecture, firmware and NIC attachment through LLD-01. Before network commissioning, obtain LLD-06 values. The controlled build baseline must record all selected implementation settings before use.</w:t>
      </w:r>
    </w:p>
    <w:p>
      <w:pPr>
        <w:pStyle w:val="Heading1"/>
      </w:pPr>
      <w:r>
        <w:t>Build sequence and exit criteria</w:t>
      </w:r>
    </w:p>
    <w:p>
      <w:r>
        <w:t>Follow LLD-02-002 for installation and provisioning, LLD-02-003 for configuration, LLD-02-004 for administration and acceptance checks, and LLD-02-005 for commissioning records. Initial targets are FW01 and JUMP01; this paper does not assert that either server is already installed or accepted.</w:t>
      </w:r>
    </w:p>
    <w:p>
      <w:pPr>
        <w:pStyle w:val="Heading1"/>
      </w:pPr>
      <w:r>
        <w:t>Traceability and unresolved settings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Decision</w:t>
            </w:r>
          </w:p>
        </w:tc>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paper</w:t>
            </w:r>
          </w:p>
        </w:tc>
        <w:tc>
          <w:tcPr>
            <w:tcW w:type="dxa" w:w="633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 in this paper</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Q02</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Q04</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Q05</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Q06</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Q08</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Q09</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Q10</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Q11</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Q12</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Q14</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Q15</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Q16</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Q18</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Q19</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Q20</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bl>
    <w:p>
      <w:pPr>
        <w:spacing w:after="40"/>
      </w:pP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Open item</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c>
          <w:tcPr>
            <w:tcW w:type="dxa" w:w="53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Resolution requirement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CPU, RAM and firmware</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 specification</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Exact storage layout</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Verify installer units, disk size and firmware</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Future role changes</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Business requirement and approved exception</w:t>
            </w:r>
          </w:p>
        </w:tc>
      </w:tr>
    </w:tbl>
    <w:p>
      <w:pPr>
        <w:spacing w:after="40"/>
      </w:pPr>
    </w:p>
    <w:p>
      <w:r>
        <w:t>Resolve open implementation values through the responsible dependency or configuration baseline. Record the result and its reference; do not silently substitute a proposed value. A deviation from an approved decision requires explicit exception handling under LLD-02-005.</w:t>
      </w:r>
    </w:p>
    <w:p>
      <w:pPr>
        <w:pStyle w:val="Heading1"/>
      </w:pPr>
      <w:r>
        <w:t>References</w:t>
      </w:r>
    </w:p>
    <w:p>
      <w:r>
        <w:t>Project authority: LLD-02 Consolidated Design Decision Register, Project Redstone / Northwind Outdoor Ltd., Q01–Q20 and supporting requirements. Dependency identifiers refer to design responsibilities; their detailed configuration values remain to be confirmed.</w:t>
      </w:r>
    </w:p>
    <w:p>
      <w:r>
        <w:t>Technical reference: Red Hat Enterprise Linux 10 product documentation, https://docs.redhat.com/en/documentation/red_hat_enterprise_linux/10. Verify command availability and effective configuration on the installed minor release. Examples are implementation guidance, not records of executed changes.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LLD-02-001 | v0.2 Consolidated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RHEL Server Build Standard</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