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Operating System Installation &amp; Provisioning</w:t>
      </w:r>
    </w:p>
    <w:p>
      <w:r>
        <w:t>LLD-02-002 | Project Redstone | Northwind Outdoor Ltd.</w:t>
      </w:r>
    </w:p>
    <w:p>
      <w:r>
        <w:t>v0.2 Consolidated Draft | 12 October 2026</w:t>
      </w:r>
    </w:p>
    <w:p>
      <w:r>
        <w:t>This paper turns the approved build standard into a repeatable manual installation and initial provisioning procedure. It produces an identified, registered and reachable OS instance ready for configuration; full acceptance is performed under LLD-02-004.</w:t>
      </w:r>
    </w:p>
    <w:p>
      <w:pPr>
        <w:pStyle w:val="Heading1"/>
      </w:pPr>
      <w:r>
        <w:t>Document control</w:t>
      </w:r>
    </w:p>
    <w:tbl>
      <w:tblPr>
        <w:tblW w:type="auto" w:w="0"/>
        <w:jc w:val="center"/>
        <w:tblLayout w:type="fixed"/>
        <w:tblLook w:firstColumn="1" w:firstRow="1" w:lastColumn="0" w:lastRow="0" w:noHBand="0" w:noVBand="1" w:val="04A0"/>
      </w:tblPr>
      <w:tblGrid>
        <w:gridCol w:w="4896"/>
        <w:gridCol w:w="4896"/>
      </w:tblGrid>
      <w:tr>
        <w:trPr>
          <w:tblHeader/>
        </w:trPr>
        <w:tc>
          <w:tcPr>
            <w:tcW w:type="dxa" w:w="21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Field</w:t>
            </w:r>
          </w:p>
        </w:tc>
        <w:tc>
          <w:tcPr>
            <w:tcW w:type="dxa" w:w="748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Value</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Document status</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Consolidated draft for review; not a commissioning approval</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Design authority</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Q01–Q20 agreed in the Consolidated Design Decision Register</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Owner and reviewers</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Owner: TBD. Proposed reviewers: Linux consultant and relevant dependency design owners</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Change history</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v0.2: consolidated into the five original paper boundaries; agreed decisions preserved</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Classification</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Project lab design; editable controlled master</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Approval record</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Approver, date and approval reference: TBD</w:t>
            </w:r>
          </w:p>
        </w:tc>
      </w:tr>
    </w:tbl>
    <w:p>
      <w:pPr>
        <w:spacing w:after="40"/>
      </w:pPr>
    </w:p>
    <w:p>
      <w:r>
        <w:t>Status convention: Approved describes the agreed Q01–Q20 design choices. Proposed describes implementation suggestions requiring confirmation. TBD identifies a value or dependency that has not been specified. Draft status does not reopen approved choices or imply that proposed settings are approved.</w:t>
      </w:r>
    </w:p>
    <w:p>
      <w:pPr>
        <w:pStyle w:val="Heading1"/>
      </w:pPr>
      <w:r>
        <w:t>Scope and paper boundaries</w:t>
      </w:r>
    </w:p>
    <w:tbl>
      <w:tblPr>
        <w:tblW w:type="auto" w:w="0"/>
        <w:jc w:val="center"/>
        <w:tblLayout w:type="fixed"/>
        <w:tblLook w:firstColumn="1" w:firstRow="1" w:lastColumn="0" w:lastRow="0" w:noHBand="0" w:noVBand="1" w:val="04A0"/>
      </w:tblPr>
      <w:tblGrid>
        <w:gridCol w:w="4896"/>
        <w:gridCol w:w="4896"/>
      </w:tblGrid>
      <w:tr>
        <w:trPr>
          <w:tblHeader/>
        </w:trPr>
        <w:tc>
          <w:tcPr>
            <w:tcW w:type="dxa" w:w="1872"/>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Paper</w:t>
            </w:r>
          </w:p>
        </w:tc>
        <w:tc>
          <w:tcPr>
            <w:tcW w:type="dxa" w:w="777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Authoritative responsibility</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LLD-02-001</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RHEL Server Build Standard</w:t>
            </w:r>
          </w:p>
        </w:tc>
      </w:tr>
      <w:tr>
        <w:tc>
          <w:tcPr>
            <w:tcW w:type="dxa" w:w="187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LLD-02-002</w:t>
            </w:r>
          </w:p>
        </w:tc>
        <w:tc>
          <w:tcPr>
            <w:tcW w:type="dxa" w:w="77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Operating System Installation &amp; Provisioning</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System Configuration &amp; Service Management</w:t>
            </w:r>
          </w:p>
        </w:tc>
      </w:tr>
      <w:tr>
        <w:tc>
          <w:tcPr>
            <w:tcW w:type="dxa" w:w="187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77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Administrative Operations &amp; Baseline Validation</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LLD-02-005</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Server Commissioning &amp; Build Documentation</w:t>
            </w:r>
          </w:p>
        </w:tc>
      </w:tr>
    </w:tbl>
    <w:p>
      <w:pPr>
        <w:spacing w:after="40"/>
      </w:pPr>
    </w:p>
    <w:p>
      <w:r>
        <w:t>The decision text below is authoritative only in its owning paper. Other papers reference it for implementation and evidence. Service and role designs remain owned by their respective LLDs; an OS build does not constitute acceptance of those services.</w:t>
      </w:r>
    </w:p>
    <w:p>
      <w:pPr>
        <w:pStyle w:val="Heading1"/>
      </w:pPr>
      <w:r>
        <w:t>Approved decisions owned by this paper</w:t>
      </w:r>
    </w:p>
    <w:p>
      <w:pPr>
        <w:pStyle w:val="Heading2"/>
      </w:pPr>
      <w:r>
        <w:t>Q06 How should RHEL licensing, registration and repositories be managed?</w:t>
      </w:r>
    </w:p>
    <w:p>
      <w:r>
        <w:t>Approved: Official Red Hat repositories and direct system registration. Use the free Red Hat Developer Subscription for Individuals where eligible. Verify entitlement limits and conditions; this is for the simulated lab, not real commercial production.</w:t>
      </w:r>
    </w:p>
    <w:p>
      <w:pPr>
        <w:pStyle w:val="Heading2"/>
      </w:pPr>
      <w:r>
        <w:t>Q08 What hostname and naming convention should be adopted?</w:t>
      </w:r>
    </w:p>
    <w:p>
      <w:r>
        <w:t>Approved: Lowercase, role-based FQDNs under internal.northwindoutdoor.xyz, such as fw01.internal.northwindoutdoor.xyz and jump01.internal.northwindoutdoor.xyz. Temporary name resolution may be required before CORE01 is operational.</w:t>
      </w:r>
    </w:p>
    <w:p>
      <w:pPr>
        <w:pStyle w:val="Heading1"/>
      </w:pPr>
      <w:r>
        <w:t>Pre-installation record and prerequisites</w:t>
      </w:r>
    </w:p>
    <w:p>
      <w:r>
        <w:t>Create the server implementation record before starting. Record the VM identifier, target role, CPU, RAM, 40 GiB disk, firmware mode, virtual NIC identities and intended network attachments. Obtain the approved RHEL 10 installation media from Red Hat and record its filename, release, checksum and verification result. Confirm hypervisor compatibility through LLD-01.</w:t>
      </w:r>
    </w:p>
    <w:p>
      <w:r>
        <w:t>Prepare console access, a protected root credential, the named administrator identity, an approved temporary management path and registration credentials. Keep passwords, private keys and subscription secrets out of GitHub, screenshots and command transcripts. The Developer Subscription is for this simulated lab where eligible; confirm current entitlement terms before registration.</w:t>
      </w:r>
    </w:p>
    <w:p>
      <w:pPr>
        <w:pStyle w:val="Heading1"/>
      </w:pPr>
      <w:r>
        <w:t>Manual installation procedure</w:t>
      </w:r>
    </w:p>
    <w:p>
      <w:r>
        <w:t>1. Create the VM using LLD-01 settings and attach only the approved virtual networks. Confirm that the target disk belongs to the intended VM before committing storage changes.</w:t>
      </w:r>
    </w:p>
    <w:p>
      <w:r>
        <w:t>2. Boot verified RHEL 10 media. Select Minimal Install. Record locale, keyboard and timezone choices in the baseline; these values are TBD rather than additional approved decisions.</w:t>
      </w:r>
    </w:p>
    <w:p>
      <w:r>
        <w:t>3. Select the 40 GiB OS disk and apply the proposed layout from LLD-02-001 after confirming firmware mode. Review mount points, filesystems, LV sizes and remaining VG capacity before installation.</w:t>
      </w:r>
    </w:p>
    <w:p>
      <w:r>
        <w:t>4. Set the role FQDN and initial connectivity using the approved addressing sheet. Configure root recovery access and a named local administrator. Do not expose management on an unapproved external interface.</w:t>
      </w:r>
    </w:p>
    <w:p>
      <w:r>
        <w:t>5. Complete installation, reboot from the installed disk and detach installation media as appropriate. Record the installed OS identity and inspect disk, LVM and filesystem results.</w:t>
      </w:r>
    </w:p>
    <w:p>
      <w:r>
        <w:t>6. Register directly with Red Hat, confirm official repositories, then apply the initial approved manual update transaction. Configure the common services under LLD-02-003 and retain evidence.</w:t>
      </w:r>
    </w:p>
    <w:p>
      <w:pPr>
        <w:pStyle w:val="Heading1"/>
      </w:pPr>
      <w:r>
        <w:t>Identity and temporary name resolution</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1152"/>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Role</w:t>
            </w:r>
          </w:p>
        </w:tc>
        <w:tc>
          <w:tcPr>
            <w:tcW w:type="dxa" w:w="4464"/>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Approved hostname</w:t>
            </w:r>
          </w:p>
        </w:tc>
        <w:tc>
          <w:tcPr>
            <w:tcW w:type="dxa" w:w="4032"/>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Provisioning consideration</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FW01</w:t>
            </w:r>
          </w:p>
        </w:tc>
        <w:tc>
          <w:tcPr>
            <w:tcW w:type="dxa" w:w="44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fw01.internal.northwindoutdoor.xyz</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LLD-06 maps external and internal NICs and addresses</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JUMP01</w:t>
            </w:r>
          </w:p>
        </w:tc>
        <w:tc>
          <w:tcPr>
            <w:tcW w:type="dxa" w:w="446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jump01.internal.northwindoutdoor.xyz</w:t>
            </w:r>
          </w:p>
        </w:tc>
        <w:tc>
          <w:tcPr>
            <w:tcW w:type="dxa" w:w="403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Management path and source restrictions depend on LLD-07</w:t>
            </w:r>
          </w:p>
        </w:tc>
      </w:tr>
    </w:tbl>
    <w:p>
      <w:pPr>
        <w:spacing w:after="40"/>
      </w:pPr>
    </w:p>
    <w:p>
      <w:pPr>
        <w:pStyle w:val="Code"/>
      </w:pPr>
      <w:r>
        <w:t>sudo hostnamectl set-hostname &lt;role&gt;.internal.northwindoutdoor.xyz</w:t>
      </w:r>
    </w:p>
    <w:p>
      <w:pPr>
        <w:pStyle w:val="Code"/>
      </w:pPr>
      <w:r>
        <w:t>hostnamectl</w:t>
      </w:r>
    </w:p>
    <w:p>
      <w:pPr>
        <w:pStyle w:val="Code"/>
      </w:pPr>
      <w:r>
        <w:t>cat /etc/os-release</w:t>
      </w:r>
    </w:p>
    <w:p>
      <w:pPr>
        <w:pStyle w:val="Code"/>
      </w:pPr>
      <w:r>
        <w:t>lsblk -f</w:t>
      </w:r>
    </w:p>
    <w:p>
      <w:pPr>
        <w:pStyle w:val="Code"/>
      </w:pPr>
      <w:r>
        <w:t>sudo pvs</w:t>
      </w:r>
    </w:p>
    <w:p>
      <w:pPr>
        <w:pStyle w:val="Code"/>
      </w:pPr>
      <w:r>
        <w:t>sudo vgs</w:t>
      </w:r>
    </w:p>
    <w:p>
      <w:pPr>
        <w:pStyle w:val="Code"/>
      </w:pPr>
      <w:r>
        <w:t>sudo lvs -a -o +devices</w:t>
      </w:r>
    </w:p>
    <w:p>
      <w:pPr>
        <w:pStyle w:val="Code"/>
      </w:pPr>
      <w:r>
        <w:t>findmnt /</w:t>
      </w:r>
    </w:p>
    <w:p>
      <w:pPr>
        <w:pStyle w:val="Code"/>
      </w:pPr>
      <w:r>
        <w:t>findmnt /boot</w:t>
      </w:r>
    </w:p>
    <w:p>
      <w:pPr>
        <w:pStyle w:val="Code"/>
      </w:pPr>
      <w:r>
        <w:t>swapon --show</w:t>
      </w:r>
    </w:p>
    <w:p>
      <w:r>
        <w:t>Replace angle-bracket placeholders before running examples. Temporary hosts-file entries or approved temporary resolvers may be used until CORE01 is operational. Record the mapping, owner, reason and removal trigger. Use actual LLD-06 addresses; do not invent a subnet or use the future CORE01 address as a functioning DNS server before it exists.</w:t>
      </w:r>
    </w:p>
    <w:p>
      <w:pPr>
        <w:pStyle w:val="Heading1"/>
      </w:pPr>
      <w:r>
        <w:t>Registration and official repositories</w:t>
      </w:r>
    </w:p>
    <w:p>
      <w:pPr>
        <w:pStyle w:val="Code"/>
      </w:pPr>
      <w:r>
        <w:t>sudo subscription-manager register</w:t>
      </w:r>
    </w:p>
    <w:p>
      <w:pPr>
        <w:pStyle w:val="Code"/>
      </w:pPr>
      <w:r>
        <w:t>sudo subscription-manager identity</w:t>
      </w:r>
    </w:p>
    <w:p>
      <w:pPr>
        <w:pStyle w:val="Code"/>
      </w:pPr>
      <w:r>
        <w:t>sudo subscription-manager repos --list-enabled</w:t>
      </w:r>
    </w:p>
    <w:p>
      <w:pPr>
        <w:pStyle w:val="Code"/>
      </w:pPr>
      <w:r>
        <w:t>sudo dnf repolist</w:t>
      </w:r>
    </w:p>
    <w:p>
      <w:pPr>
        <w:pStyle w:val="Code"/>
      </w:pPr>
      <w:r>
        <w:t>sudo dnf check-update</w:t>
      </w:r>
    </w:p>
    <w:p>
      <w:r>
        <w:t>Use the interactive registration flow so credentials are not embedded in command history. Confirm registration identity and required official repositories with the applicable entitlement model; registration alone is not evidence that repositories work. Do not prescribe auto-attachment where subscription access mode makes it unnecessary. dnf check-update returns 100 when updates are available, 0 when none are available, and an error code on failure.</w:t>
      </w:r>
    </w:p>
    <w:p>
      <w:r>
        <w:t>Apply updates only under the manual maintenance procedure in LLD-02-004. Record the package transaction and any reboot. Third-party repositories are not part of the approved initial standard and require a justified exception.</w:t>
      </w:r>
    </w:p>
    <w:p>
      <w:pPr>
        <w:pStyle w:val="Heading1"/>
      </w:pPr>
      <w:r>
        <w:t>Bootstrap connectivity and time</w:t>
      </w:r>
    </w:p>
    <w:p>
      <w:r>
        <w:t>Use NetworkManager and nmcli as specified in LLD-02-003. FW01 requires external and internal network attachments; verify them against VM NIC identifiers before applying any role policy. JUMP01 requires a reachable approved administration path. Registration may depend on FW01 outbound connectivity, while building FW01 itself may require a temporary path: document the bootstrap sequence and remove temporary rules after transition.</w:t>
      </w:r>
    </w:p>
    <w:p>
      <w:r>
        <w:t>Chrony uses approved temporary external NTP during bootstrap and CORE01 as the normal internal source once available. Confirm synchronization before relying on timestamps or authentication evidence. HYP01 maintains independent time synchronization; do not redesign its time service here.</w:t>
      </w:r>
    </w:p>
    <w:p>
      <w:pPr>
        <w:pStyle w:val="Heading1"/>
      </w:pPr>
      <w:r>
        <w:t>Dependencies and implementation gates</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108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Design</w:t>
            </w:r>
          </w:p>
        </w:tc>
        <w:tc>
          <w:tcPr>
            <w:tcW w:type="dxa" w:w="39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Ownership</w:t>
            </w:r>
          </w:p>
        </w:tc>
        <w:tc>
          <w:tcPr>
            <w:tcW w:type="dxa" w:w="460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Required input</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LLD-01</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VM specifications, hypervisor configuration and storage allocation</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CPU, RAM, firmware, virtual NIC mapping and disk presentation</w:t>
            </w:r>
          </w:p>
        </w:tc>
      </w:tr>
      <w:tr>
        <w:tc>
          <w:tcPr>
            <w:tcW w:type="dxa" w:w="108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LLD-06</w:t>
            </w:r>
          </w:p>
        </w:tc>
        <w:tc>
          <w:tcPr>
            <w:tcW w:type="dxa" w:w="39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VLANs, IP addressing, routing, DNS dependencies and firewall connectivity</w:t>
            </w:r>
          </w:p>
        </w:tc>
        <w:tc>
          <w:tcPr>
            <w:tcW w:type="dxa" w:w="46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FW01 interfaces, VLANs, routing, NAT, policy and temporary DNS</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LLD-07</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Administrative access, SSH and identity management</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Administrator identities, source restrictions, SSH settings and privileges</w:t>
            </w:r>
          </w:p>
        </w:tc>
      </w:tr>
      <w:tr>
        <w:tc>
          <w:tcPr>
            <w:tcW w:type="dxa" w:w="108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LLD-09</w:t>
            </w:r>
          </w:p>
        </w:tc>
        <w:tc>
          <w:tcPr>
            <w:tcW w:type="dxa" w:w="39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Backup, recovery and rebuild requirements</w:t>
            </w:r>
          </w:p>
        </w:tc>
        <w:tc>
          <w:tcPr>
            <w:tcW w:type="dxa" w:w="46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Recovery prerequisites, backup scope and restore verification</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LLD-12</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Detailed operating system security hardening</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Hardening values, exceptions and security validation</w:t>
            </w:r>
          </w:p>
        </w:tc>
      </w:tr>
    </w:tbl>
    <w:p>
      <w:pPr>
        <w:spacing w:after="40"/>
      </w:pPr>
    </w:p>
    <w:p>
      <w:r>
        <w:t>Provisioning is blocked for any setting whose absence would cause unsafe disk selection, incorrect NIC attachment or loss of management access. CORE01 unavailability is handled through a documented temporary DNS/NTP arrangement rather than an undocumented permanent alternative.</w:t>
      </w:r>
    </w:p>
    <w:p>
      <w:pPr>
        <w:pStyle w:val="Heading1"/>
      </w:pPr>
      <w:r>
        <w:t>Provisioning completion record</w:t>
      </w:r>
    </w:p>
    <w:p>
      <w:r>
        <w:t>Record media verification, installer choices, actual storage, hostname, NIC mapping, addressing source, temporary dependencies, registration result and update transaction. Handover to configuration only when console recovery and the approved management path work. Complete the full build checklist in LLD-02-004 before commissioning.</w:t>
      </w:r>
    </w:p>
    <w:p>
      <w:pPr>
        <w:pStyle w:val="Heading1"/>
      </w:pPr>
      <w:r>
        <w:t>Traceability and unresolved settings</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1152"/>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Decision</w:t>
            </w:r>
          </w:p>
        </w:tc>
        <w:tc>
          <w:tcPr>
            <w:tcW w:type="dxa" w:w="21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Authoritative paper</w:t>
            </w:r>
          </w:p>
        </w:tc>
        <w:tc>
          <w:tcPr>
            <w:tcW w:type="dxa" w:w="633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Use in this paper</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Q03</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LLD-02-001</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Q04</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LLD-02-001</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Q05</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LLD-02-001</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Q06</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LLD-02-002</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Q08</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LLD-02-002</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Q09</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Q10</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Q12</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Q13</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Q18</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Q19</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LLD-02-005</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bl>
    <w:p>
      <w:pPr>
        <w:spacing w:after="40"/>
      </w:pP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3024"/>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Open item</w:t>
            </w:r>
          </w:p>
        </w:tc>
        <w:tc>
          <w:tcPr>
            <w:tcW w:type="dxa" w:w="129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Status</w:t>
            </w:r>
          </w:p>
        </w:tc>
        <w:tc>
          <w:tcPr>
            <w:tcW w:type="dxa" w:w="532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Resolution requirement</w:t>
            </w:r>
          </w:p>
        </w:tc>
      </w:tr>
      <w:t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ISO minor release and checksum</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Record verified Red Hat media</w:t>
            </w:r>
          </w:p>
        </w:tc>
      </w:tr>
      <w:tr>
        <w:tc>
          <w:tcPr>
            <w:tcW w:type="dxa" w:w="302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Firmware and filesystem values</w:t>
            </w:r>
          </w:p>
        </w:tc>
        <w:tc>
          <w:tcPr>
            <w:tcW w:type="dxa" w:w="12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Proposed</w:t>
            </w:r>
          </w:p>
        </w:tc>
        <w:tc>
          <w:tcPr>
            <w:tcW w:type="dxa" w:w="532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Confirm through baseline and LLD-01</w:t>
            </w:r>
          </w:p>
        </w:tc>
      </w:tr>
      <w:t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IP, DNS and bootstrap NTP</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LLD-06 and approved temporary dependency record</w:t>
            </w:r>
          </w:p>
        </w:tc>
      </w:tr>
      <w:tr>
        <w:tc>
          <w:tcPr>
            <w:tcW w:type="dxa" w:w="302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Subscription eligibility</w:t>
            </w:r>
          </w:p>
        </w:tc>
        <w:tc>
          <w:tcPr>
            <w:tcW w:type="dxa" w:w="12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c>
          <w:tcPr>
            <w:tcW w:type="dxa" w:w="532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Confirm current entitlement terms</w:t>
            </w:r>
          </w:p>
        </w:tc>
      </w:tr>
    </w:tbl>
    <w:p>
      <w:pPr>
        <w:spacing w:after="40"/>
      </w:pPr>
    </w:p>
    <w:p>
      <w:r>
        <w:t>Resolve open implementation values through the responsible dependency or configuration baseline. Record the result and its reference; do not silently substitute a proposed value. A deviation from an approved decision requires explicit exception handling under LLD-02-005.</w:t>
      </w:r>
    </w:p>
    <w:p>
      <w:pPr>
        <w:pStyle w:val="Heading1"/>
      </w:pPr>
      <w:r>
        <w:t>References</w:t>
      </w:r>
    </w:p>
    <w:p>
      <w:r>
        <w:t>Project authority: LLD-02 Consolidated Design Decision Register, Project Redstone / Northwind Outdoor Ltd., Q01–Q20 and supporting requirements. Dependency identifiers refer to design responsibilities; their detailed configuration values remain to be confirmed.</w:t>
      </w:r>
    </w:p>
    <w:p>
      <w:r>
        <w:t>Technical reference: Red Hat Enterprise Linux 10 product documentation, https://docs.redhat.com/en/documentation/red_hat_enterprise_linux/10. Verify command availability and effective configuration on the installed minor release. Examples are implementation guidance, not records of executed changes.</w:t>
      </w:r>
    </w:p>
    <w:sectPr w:rsidR="00FC693F" w:rsidRPr="0006063C" w:rsidSect="00034616">
      <w:footerReference w:type="default" r:id="rId9"/>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LLD-02-002 | v0.2 Consolidated Draft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 Installation &amp; Provisioning</dc:title>
  <dc:subject/>
  <dc:creator>Project Redstone</dc:creator>
  <cp:keywords/>
  <dc:description>generated by python-docx</dc:description>
  <cp:lastModifiedBy/>
  <cp:revision>1</cp:revision>
  <dcterms:created xsi:type="dcterms:W3CDTF">2013-12-23T23:15:00Z</dcterms:created>
  <dcterms:modified xsi:type="dcterms:W3CDTF">2013-12-23T23:15:00Z</dcterms:modified>
  <cp:category/>
  <cp:version>0.2</cp:version>
</cp:coreProperties>
</file>