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Configuration &amp; Service Management</w:t>
      </w:r>
    </w:p>
    <w:p>
      <w:r>
        <w:t>LLD-02-003 | Project Redstone | Northwind Outdoor Ltd.</w:t>
      </w:r>
    </w:p>
    <w:p>
      <w:r>
        <w:t>v0.2 Consolidated Draft | 12 October 2026</w:t>
      </w:r>
    </w:p>
    <w:p>
      <w:r>
        <w:t>This paper owns the common persistent OS configuration after installation. It specifies service, networking, time, logging and host protection principles, while leaving routing, access restrictions and detailed hardening values to the relevant dependent LLDs.</w:t>
      </w:r>
    </w:p>
    <w:p>
      <w:pPr>
        <w:pStyle w:val="Heading1"/>
      </w:pPr>
      <w:r>
        <w:t>Document control</w:t>
      </w:r>
    </w:p>
    <w:tbl>
      <w:tblPr>
        <w:tblW w:type="auto" w:w="0"/>
        <w:jc w:val="center"/>
        <w:tblLayout w:type="fixed"/>
        <w:tblLook w:firstColumn="1" w:firstRow="1" w:lastColumn="0" w:lastRow="0" w:noHBand="0" w:noVBand="1" w:val="04A0"/>
      </w:tblPr>
      <w:tblGrid>
        <w:gridCol w:w="4896"/>
        <w:gridCol w:w="4896"/>
      </w:tblGrid>
      <w:tr>
        <w:trPr>
          <w:tblHeader/>
        </w:trPr>
        <w:tc>
          <w:tcPr>
            <w:tcW w:type="dxa" w:w="21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Field</w:t>
            </w:r>
          </w:p>
        </w:tc>
        <w:tc>
          <w:tcPr>
            <w:tcW w:type="dxa" w:w="748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Value</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Document status</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Consolidated draft for review; not a commissioning approval</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Design authority</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Q01–Q20 agreed in the Consolidated Design Decision Register</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Owner and reviewers</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Owner: TBD. Proposed reviewers: Linux consultant and relevant dependency design owners</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Change history</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v0.2: consolidated into the five original paper boundaries; agreed decisions preserved</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Classification</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Project lab design; editable controlled master</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Approval record</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Approver, date and approval reference: TBD</w:t>
            </w:r>
          </w:p>
        </w:tc>
      </w:tr>
    </w:tbl>
    <w:p>
      <w:pPr>
        <w:spacing w:after="40"/>
      </w:pPr>
    </w:p>
    <w:p>
      <w:r>
        <w:t>Status convention: Approved describes the agreed Q01–Q20 design choices. Proposed describes implementation suggestions requiring confirmation. TBD identifies a value or dependency that has not been specified. Draft status does not reopen approved choices or imply that proposed settings are approved.</w:t>
      </w:r>
    </w:p>
    <w:p>
      <w:pPr>
        <w:pStyle w:val="Heading1"/>
      </w:pPr>
      <w:r>
        <w:t>Scope and paper boundaries</w:t>
      </w:r>
    </w:p>
    <w:tbl>
      <w:tblPr>
        <w:tblW w:type="auto" w:w="0"/>
        <w:jc w:val="center"/>
        <w:tblLayout w:type="fixed"/>
        <w:tblLook w:firstColumn="1" w:firstRow="1" w:lastColumn="0" w:lastRow="0" w:noHBand="0" w:noVBand="1" w:val="04A0"/>
      </w:tblPr>
      <w:tblGrid>
        <w:gridCol w:w="4896"/>
        <w:gridCol w:w="4896"/>
      </w:tblGrid>
      <w:tr>
        <w:trPr>
          <w:tblHeader/>
        </w:trPr>
        <w:tc>
          <w:tcPr>
            <w:tcW w:type="dxa" w:w="1872"/>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Paper</w:t>
            </w:r>
          </w:p>
        </w:tc>
        <w:tc>
          <w:tcPr>
            <w:tcW w:type="dxa" w:w="777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Authoritative responsibility</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LLD-02-001</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RHEL Server Build Standard</w:t>
            </w:r>
          </w:p>
        </w:tc>
      </w:tr>
      <w:tr>
        <w:tc>
          <w:tcPr>
            <w:tcW w:type="dxa" w:w="187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LLD-02-002</w:t>
            </w:r>
          </w:p>
        </w:tc>
        <w:tc>
          <w:tcPr>
            <w:tcW w:type="dxa" w:w="77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Operating System Installation &amp; Provisioning</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System Configuration &amp; Service Management</w:t>
            </w:r>
          </w:p>
        </w:tc>
      </w:tr>
      <w:tr>
        <w:tc>
          <w:tcPr>
            <w:tcW w:type="dxa" w:w="187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77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Administrative Operations &amp; Baseline Validation</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LLD-02-005</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Server Commissioning &amp; Build Documentation</w:t>
            </w:r>
          </w:p>
        </w:tc>
      </w:tr>
    </w:tbl>
    <w:p>
      <w:pPr>
        <w:spacing w:after="40"/>
      </w:pPr>
    </w:p>
    <w:p>
      <w:r>
        <w:t>The decision text below is authoritative only in its owning paper. Other papers reference it for implementation and evidence. Service and role designs remain owned by their respective LLDs; an OS build does not constitute acceptance of those services.</w:t>
      </w:r>
    </w:p>
    <w:p>
      <w:pPr>
        <w:pStyle w:val="Heading1"/>
      </w:pPr>
      <w:r>
        <w:t>Approved decisions owned by this paper</w:t>
      </w:r>
    </w:p>
    <w:p>
      <w:pPr>
        <w:pStyle w:val="Heading2"/>
      </w:pPr>
      <w:r>
        <w:t>Q07 How should operating system updates be managed?</w:t>
      </w:r>
    </w:p>
    <w:p>
      <w:r>
        <w:t>Approved: Hybrid patch-management model. Automatically detect available updates, potentially using dnf-automatic, but apply patches manually through controlled maintenance and validation. Unattended installation is not the initial standard.</w:t>
      </w:r>
    </w:p>
    <w:p>
      <w:pPr>
        <w:pStyle w:val="Heading2"/>
      </w:pPr>
      <w:r>
        <w:t>Q09 How should network configuration be administered?</w:t>
      </w:r>
    </w:p>
    <w:p>
      <w:r>
        <w:t>Approved: NetworkManager with nmcli. Persistent interface, IP, route and VLAN configuration shall use standard RHEL networking tools. Role-specific FW01 networking is governed by LLD-06.</w:t>
      </w:r>
    </w:p>
    <w:p>
      <w:pPr>
        <w:pStyle w:val="Heading2"/>
      </w:pPr>
      <w:r>
        <w:t>Q10 How should operating system time synchronisation work?</w:t>
      </w:r>
    </w:p>
    <w:p>
      <w:r>
        <w:t>Approved: Chrony (chronyd) as the standard. CORE01 shall provide Northwind's normal internal time source. Approved temporary external NTP sources may be used during FW01/JUMP01 bootstrap. HYP01 retains independent time synchronisation.</w:t>
      </w:r>
    </w:p>
    <w:p>
      <w:pPr>
        <w:pStyle w:val="Heading2"/>
      </w:pPr>
      <w:r>
        <w:t>Q11 What local logging capability is required from initial deployment?</w:t>
      </w:r>
    </w:p>
    <w:p>
      <w:r>
        <w:t>Approved: Persistent systemd journal logging. Configure storage limits to prevent uncontrolled disk usage. Centralised logging will be introduced through OPS01 when available.</w:t>
      </w:r>
    </w:p>
    <w:p>
      <w:pPr>
        <w:pStyle w:val="Heading2"/>
      </w:pPr>
      <w:r>
        <w:t>Q14 What SELinux operating mode should be standard?</w:t>
      </w:r>
    </w:p>
    <w:p>
      <w:r>
        <w:t>Approved: SELinux enforcing. Troubleshoot contexts and policy issues rather than disabling SELinux. Any justified exceptions require documentation and approval.</w:t>
      </w:r>
    </w:p>
    <w:p>
      <w:pPr>
        <w:pStyle w:val="Heading2"/>
      </w:pPr>
      <w:r>
        <w:t>Q15 Should servers use host firewalls when FW01 already protects the network?</w:t>
      </w:r>
    </w:p>
    <w:p>
      <w:r>
        <w:t>Approved: Yes. Enable firewalld on every RHEL server. Use role-specific policies and approved service exceptions. This provides protection even where traffic does not traverse FW01, including same-VLAN traffic.</w:t>
      </w:r>
    </w:p>
    <w:p>
      <w:pPr>
        <w:pStyle w:val="Heading2"/>
      </w:pPr>
      <w:r>
        <w:t>Q16 What standard system services should be maintained?</w:t>
      </w:r>
    </w:p>
    <w:p>
      <w:r>
        <w:t>Approved: A documented common systemd service baseline, including NetworkManager, sshd, chronyd, firewalld, persistent systemd-journald and auditd where applicable. Role-specific services require justification; dependencies must be reviewed before disabling services.</w:t>
      </w:r>
    </w:p>
    <w:p>
      <w:pPr>
        <w:pStyle w:val="Heading2"/>
      </w:pPr>
      <w:r>
        <w:t>Q17 What filesystem and directory conventions should be used?</w:t>
      </w:r>
    </w:p>
    <w:p>
      <w:r>
        <w:t>Approved: Follow standard RHEL filesystem conventions. Use /etc for configuration, /var/log for logs, /var/lib for application state, /home and /root for user directories, /opt for appropriate optional software, /usr/local for locally maintained tools and /srv for applicable service data. Administrative scripts may use /usr/local/sbin, with source in GitHub.</w:t>
      </w:r>
    </w:p>
    <w:p>
      <w:pPr>
        <w:pStyle w:val="Heading1"/>
      </w:pPr>
      <w:r>
        <w:t>Persistent network configuration</w:t>
      </w:r>
    </w:p>
    <w:p>
      <w:r>
        <w:t>Identify the connection profile, interface and virtual NIC before changing networking. Use persistent NetworkManager profiles and document addresses, prefixes, gateways, DNS servers, routes and VLAN membership from LLD-06. A route default is not implied for every interface. FW01 must not receive competing default gateways through an unreviewed common template.</w:t>
      </w:r>
    </w:p>
    <w:p>
      <w:pPr>
        <w:pStyle w:val="Code"/>
      </w:pPr>
      <w:r>
        <w:t>nmcli device status</w:t>
      </w:r>
    </w:p>
    <w:p>
      <w:pPr>
        <w:pStyle w:val="Code"/>
      </w:pPr>
      <w:r>
        <w:t>nmcli connection show</w:t>
      </w:r>
    </w:p>
    <w:p>
      <w:pPr>
        <w:pStyle w:val="Code"/>
      </w:pPr>
      <w:r>
        <w:t>ip -br address</w:t>
      </w:r>
    </w:p>
    <w:p>
      <w:pPr>
        <w:pStyle w:val="Code"/>
      </w:pPr>
      <w:r>
        <w:t>ip route</w:t>
      </w:r>
    </w:p>
    <w:p>
      <w:pPr>
        <w:pStyle w:val="Code"/>
      </w:pPr>
      <w:r>
        <w:t>nmcli connection show "&lt;connection&gt;"</w:t>
      </w:r>
    </w:p>
    <w:p>
      <w:pPr>
        <w:pStyle w:val="Code"/>
      </w:pPr>
      <w:r>
        <w:t>sudo nmcli connection modify "&lt;connection&gt;" ipv4.method manual \</w:t>
      </w:r>
    </w:p>
    <w:p>
      <w:pPr>
        <w:pStyle w:val="Code"/>
      </w:pPr>
      <w:r>
        <w:t xml:space="preserve">  ipv4.addresses "&lt;address/prefix&gt;" ipv4.gateway "&lt;gateway&gt;" \</w:t>
      </w:r>
    </w:p>
    <w:p>
      <w:pPr>
        <w:pStyle w:val="Code"/>
      </w:pPr>
      <w:r>
        <w:t xml:space="preserve">  ipv4.dns "&lt;approved-dns&gt;"</w:t>
      </w:r>
    </w:p>
    <w:p>
      <w:pPr>
        <w:pStyle w:val="Code"/>
      </w:pPr>
      <w:r>
        <w:t>sudo nmcli connection up "&lt;connection&gt;"</w:t>
      </w:r>
    </w:p>
    <w:p>
      <w:r>
        <w:t>The modification example is proposed syntax for a connection requiring a gateway. Adapt it to the approved role design; it is not a FW01 addressing template. Apply network changes with console recovery available and verify persistence after reboot. VLAN creation, IP forwarding, outbound NAT and boundary policy are owned by LLD-06.</w:t>
      </w:r>
    </w:p>
    <w:p>
      <w:pPr>
        <w:pStyle w:val="Heading1"/>
      </w:pPr>
      <w:r>
        <w:t>Time synchronization</w:t>
      </w:r>
    </w:p>
    <w:p>
      <w:r>
        <w:t>Maintain chronyd and configure approved sources in /etc/chrony.conf. CORE01 is the normal internal source. During bootstrap, use only approved temporary external sources and retain a transition record. Avoid leaving obsolete bootstrap sources or competing time daemons active. Timezone display settings do not replace NTP synchronization.</w:t>
      </w:r>
    </w:p>
    <w:p>
      <w:pPr>
        <w:pStyle w:val="Code"/>
      </w:pPr>
      <w:r>
        <w:t>systemctl status chronyd</w:t>
      </w:r>
    </w:p>
    <w:p>
      <w:pPr>
        <w:pStyle w:val="Code"/>
      </w:pPr>
      <w:r>
        <w:t>chronyc sources -v</w:t>
      </w:r>
    </w:p>
    <w:p>
      <w:pPr>
        <w:pStyle w:val="Code"/>
      </w:pPr>
      <w:r>
        <w:t>chronyc tracking</w:t>
      </w:r>
    </w:p>
    <w:p>
      <w:pPr>
        <w:pStyle w:val="Code"/>
      </w:pPr>
      <w:r>
        <w:t>timedatectl</w:t>
      </w:r>
    </w:p>
    <w:p>
      <w:pPr>
        <w:pStyle w:val="Heading1"/>
      </w:pPr>
      <w:r>
        <w:t>Persistent journal and storage protection</w:t>
      </w:r>
    </w:p>
    <w:p>
      <w:r>
        <w:t>Set persistent journal storage using an administrator drop-in under /etc/systemd/journald.conf.d rather than editing vendor files. Bound journal growth. The following numerical settings are proposed starting values, not approved decisions; confirm them against log rate, free root capacity and LLD-12 retention requirements.</w:t>
      </w:r>
    </w:p>
    <w:p>
      <w:pPr>
        <w:pStyle w:val="Code"/>
      </w:pPr>
      <w:r>
        <w:t># Proposed /etc/systemd/journald.conf.d/10-northwind.conf</w:t>
      </w:r>
    </w:p>
    <w:p>
      <w:pPr>
        <w:pStyle w:val="Code"/>
      </w:pPr>
      <w:r>
        <w:t>[Journal]</w:t>
      </w:r>
    </w:p>
    <w:p>
      <w:pPr>
        <w:pStyle w:val="Code"/>
      </w:pPr>
      <w:r>
        <w:t>Storage=persistent</w:t>
      </w:r>
    </w:p>
    <w:p>
      <w:pPr>
        <w:pStyle w:val="Code"/>
      </w:pPr>
      <w:r>
        <w:t>SystemMaxUse=512M</w:t>
      </w:r>
    </w:p>
    <w:p>
      <w:pPr>
        <w:pStyle w:val="Code"/>
      </w:pPr>
      <w:r>
        <w:t>SystemKeepFree=1G</w:t>
      </w:r>
    </w:p>
    <w:p>
      <w:pPr>
        <w:pStyle w:val="Code"/>
      </w:pPr>
      <w:r/>
    </w:p>
    <w:p>
      <w:pPr>
        <w:pStyle w:val="Code"/>
      </w:pPr>
      <w:r>
        <w:t># After reviewing and writing the drop-in</w:t>
      </w:r>
    </w:p>
    <w:p>
      <w:pPr>
        <w:pStyle w:val="Code"/>
      </w:pPr>
      <w:r>
        <w:t>sudo systemctl restart systemd-journald</w:t>
      </w:r>
    </w:p>
    <w:p>
      <w:pPr>
        <w:pStyle w:val="Code"/>
      </w:pPr>
      <w:r>
        <w:t>sudo journalctl --flush</w:t>
      </w:r>
    </w:p>
    <w:p>
      <w:pPr>
        <w:pStyle w:val="Code"/>
      </w:pPr>
      <w:r>
        <w:t>journalctl --disk-usage</w:t>
      </w:r>
    </w:p>
    <w:p>
      <w:pPr>
        <w:pStyle w:val="Code"/>
      </w:pPr>
      <w:r>
        <w:t>journalctl --list-boots</w:t>
      </w:r>
    </w:p>
    <w:p>
      <w:r>
        <w:t>Verify that prior boot logs remain accessible after a controlled reboot and that /var/log/journal contains persistent data. A size cap does not guarantee a fixed retention period. Do not delete evidence to meet a cap without assessing retention requirements. OPS01 will provide centralized logging later; transport, destination and retention remain TBD and do not replace the initial local journal requirement.</w:t>
      </w:r>
    </w:p>
    <w:p>
      <w:pPr>
        <w:pStyle w:val="Heading1"/>
      </w:pPr>
      <w:r>
        <w:t>Packages and update detection</w:t>
      </w:r>
    </w:p>
    <w:p>
      <w:r>
        <w:t>Keep packages to the OS baseline and justified role needs. Record package additions and repository provenance. Q07 requires automated detection and manual application; the detector implementation and cadence remain proposed. A notify-only DNF Automatic timer is a suitable candidate, with a monitored output destination and an accountable reviewer.</w:t>
      </w:r>
    </w:p>
    <w:p>
      <w:pPr>
        <w:pStyle w:val="Code"/>
      </w:pPr>
      <w:r>
        <w:t># Proposed detector, subject to baseline confirmation</w:t>
      </w:r>
    </w:p>
    <w:p>
      <w:pPr>
        <w:pStyle w:val="Code"/>
      </w:pPr>
      <w:r>
        <w:t>sudo dnf install dnf-automatic</w:t>
      </w:r>
    </w:p>
    <w:p>
      <w:pPr>
        <w:pStyle w:val="Code"/>
      </w:pPr>
      <w:r>
        <w:t>sudo systemctl enable --now dnf-automatic-notifyonly.timer</w:t>
      </w:r>
    </w:p>
    <w:p>
      <w:pPr>
        <w:pStyle w:val="Code"/>
      </w:pPr>
      <w:r>
        <w:t>systemctl list-timers --all</w:t>
      </w:r>
    </w:p>
    <w:p>
      <w:pPr>
        <w:pStyle w:val="Code"/>
      </w:pPr>
      <w:r>
        <w:t>systemctl cat dnf-automatic-notifyonly.timer</w:t>
      </w:r>
    </w:p>
    <w:p>
      <w:r>
        <w:t>Verify installed timer behavior and effective /etc/dnf/automatic.conf settings. Do not enable an install timer or unattended patch installation. Detection must produce visible results; a running timer without a reviewed notification or journal record does not satisfy the operational requirement. Manual patch execution and validation are specified in LLD-02-004.</w:t>
      </w:r>
    </w:p>
    <w:p>
      <w:pPr>
        <w:pStyle w:val="Heading1"/>
      </w:pPr>
      <w:r>
        <w:t>Common systemd service baseline</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201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Unit</w:t>
            </w:r>
          </w:p>
        </w:tc>
        <w:tc>
          <w:tcPr>
            <w:tcW w:type="dxa" w:w="4464"/>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Required state or behavior</w:t>
            </w:r>
          </w:p>
        </w:tc>
        <w:tc>
          <w:tcPr>
            <w:tcW w:type="dxa" w:w="316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Role consideration</w:t>
            </w:r>
          </w:p>
        </w:tc>
      </w:tr>
      <w:t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NetworkManager</w:t>
            </w:r>
          </w:p>
        </w:tc>
        <w:tc>
          <w:tcPr>
            <w:tcW w:type="dxa" w:w="44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Active; persistent connection profiles</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FW01 topology from LLD-06</w:t>
            </w:r>
          </w:p>
        </w:tc>
      </w:tr>
      <w:tr>
        <w:tc>
          <w:tcPr>
            <w:tcW w:type="dxa" w:w="201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sshd</w:t>
            </w:r>
          </w:p>
        </w:tc>
        <w:tc>
          <w:tcPr>
            <w:tcW w:type="dxa" w:w="446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Active on approved access paths</w:t>
            </w:r>
          </w:p>
        </w:tc>
        <w:tc>
          <w:tcPr>
            <w:tcW w:type="dxa" w:w="316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Settings and restrictions from LLD-07</w:t>
            </w:r>
          </w:p>
        </w:tc>
      </w:tr>
      <w:t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chronyd</w:t>
            </w:r>
          </w:p>
        </w:tc>
        <w:tc>
          <w:tcPr>
            <w:tcW w:type="dxa" w:w="44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Active and synchronized</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Temporary sources transition to CORE01</w:t>
            </w:r>
          </w:p>
        </w:tc>
      </w:tr>
      <w:tr>
        <w:tc>
          <w:tcPr>
            <w:tcW w:type="dxa" w:w="201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firewalld</w:t>
            </w:r>
          </w:p>
        </w:tc>
        <w:tc>
          <w:tcPr>
            <w:tcW w:type="dxa" w:w="446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Enabled and active</w:t>
            </w:r>
          </w:p>
        </w:tc>
        <w:tc>
          <w:tcPr>
            <w:tcW w:type="dxa" w:w="316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Role policies from LLD-06 and LLD-12</w:t>
            </w:r>
          </w:p>
        </w:tc>
      </w:tr>
      <w:t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systemd-journald</w:t>
            </w:r>
          </w:p>
        </w:tc>
        <w:tc>
          <w:tcPr>
            <w:tcW w:type="dxa" w:w="44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Active; persistent bounded storage</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Verify persistence rather than assuming enablement</w:t>
            </w:r>
          </w:p>
        </w:tc>
      </w:tr>
      <w:tr>
        <w:tc>
          <w:tcPr>
            <w:tcW w:type="dxa" w:w="201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auditd</w:t>
            </w:r>
          </w:p>
        </w:tc>
        <w:tc>
          <w:tcPr>
            <w:tcW w:type="dxa" w:w="446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Maintain where applicable; policy confirmed</w:t>
            </w:r>
          </w:p>
        </w:tc>
        <w:tc>
          <w:tcPr>
            <w:tcW w:type="dxa" w:w="316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Detailed rules and applicability from LLD-12</w:t>
            </w:r>
          </w:p>
        </w:tc>
      </w:tr>
    </w:tbl>
    <w:p>
      <w:pPr>
        <w:spacing w:after="40"/>
      </w:pPr>
    </w:p>
    <w:p>
      <w:r>
        <w:t>Inventory active and enabled units. Review dependencies before disabling anything; Minimal Install is not an instruction to remove unfamiliar services. Some units are static or socket activated and cannot be treated as conventional enabled services. Record justified additions and departures from the common list.</w:t>
      </w:r>
    </w:p>
    <w:p>
      <w:pPr>
        <w:pStyle w:val="Code"/>
      </w:pPr>
      <w:r>
        <w:t>systemctl --failed</w:t>
      </w:r>
    </w:p>
    <w:p>
      <w:pPr>
        <w:pStyle w:val="Code"/>
      </w:pPr>
      <w:r>
        <w:t>systemctl list-unit-files --state=enabled</w:t>
      </w:r>
    </w:p>
    <w:p>
      <w:pPr>
        <w:pStyle w:val="Code"/>
      </w:pPr>
      <w:r>
        <w:t>systemctl list-units --type=service --state=running</w:t>
      </w:r>
    </w:p>
    <w:p>
      <w:pPr>
        <w:pStyle w:val="Code"/>
      </w:pPr>
      <w:r>
        <w:t>systemctl list-dependencies &lt;unit&gt;</w:t>
      </w:r>
    </w:p>
    <w:p>
      <w:pPr>
        <w:pStyle w:val="Heading1"/>
      </w:pPr>
      <w:r>
        <w:t>SELinux and host firewall</w:t>
      </w:r>
    </w:p>
    <w:p>
      <w:r>
        <w:t>Keep SELinux enforcing. Investigate labels, access denials and policy requirements; do not disable it to make a service work. Keep firewalld active on every server, including FW01. FW01 boundary enforcement does not protect all same-VLAN traffic, and does not remove the need for host policies. Allowed services, management sources, zones and inter-zone routing rules require role-specific approval.</w:t>
      </w:r>
    </w:p>
    <w:p>
      <w:pPr>
        <w:pStyle w:val="Code"/>
      </w:pPr>
      <w:r>
        <w:t>getenforce</w:t>
      </w:r>
    </w:p>
    <w:p>
      <w:pPr>
        <w:pStyle w:val="Code"/>
      </w:pPr>
      <w:r>
        <w:t>sestatus</w:t>
      </w:r>
    </w:p>
    <w:p>
      <w:pPr>
        <w:pStyle w:val="Code"/>
      </w:pPr>
      <w:r>
        <w:t>sudo firewall-cmd --state</w:t>
      </w:r>
    </w:p>
    <w:p>
      <w:pPr>
        <w:pStyle w:val="Code"/>
      </w:pPr>
      <w:r>
        <w:t>sudo firewall-cmd --get-active-zones</w:t>
      </w:r>
    </w:p>
    <w:p>
      <w:pPr>
        <w:pStyle w:val="Code"/>
      </w:pPr>
      <w:r>
        <w:t>sudo firewall-cmd --list-all-zones</w:t>
      </w:r>
    </w:p>
    <w:p>
      <w:pPr>
        <w:pStyle w:val="Code"/>
      </w:pPr>
      <w:r>
        <w:t>sudo firewall-cmd --permanent --list-all-zones</w:t>
      </w:r>
    </w:p>
    <w:p>
      <w:r>
        <w:t>Compare runtime and permanent firewall settings and verify behavior after reboot. Do not broadly open SSH or copy JUMP01 rules onto the FW01 external zone. LLD-07 defines management access; LLD-12 supplies detailed OS hardening.</w:t>
      </w:r>
    </w:p>
    <w:p>
      <w:pPr>
        <w:pStyle w:val="Heading1"/>
      </w:pPr>
      <w:r>
        <w:t>Filesystem and local tooling conventions</w:t>
      </w:r>
    </w:p>
    <w:tbl>
      <w:tblPr>
        <w:tblW w:type="auto" w:w="0"/>
        <w:jc w:val="center"/>
        <w:tblLayout w:type="fixed"/>
        <w:tblLook w:firstColumn="1" w:firstRow="1" w:lastColumn="0" w:lastRow="0" w:noHBand="0" w:noVBand="1" w:val="04A0"/>
      </w:tblPr>
      <w:tblGrid>
        <w:gridCol w:w="4896"/>
        <w:gridCol w:w="4896"/>
      </w:tblGrid>
      <w:tr>
        <w:trPr>
          <w:tblHeader/>
        </w:trPr>
        <w:tc>
          <w:tcPr>
            <w:tcW w:type="dxa" w:w="244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Path</w:t>
            </w:r>
          </w:p>
        </w:tc>
        <w:tc>
          <w:tcPr>
            <w:tcW w:type="dxa" w:w="720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Use</w:t>
            </w:r>
          </w:p>
        </w:tc>
      </w:tr>
      <w:tr>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/etc</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Administrator configuration</w:t>
            </w:r>
          </w:p>
        </w:tc>
      </w:tr>
      <w:tr>
        <w:tc>
          <w:tcPr>
            <w:tcW w:type="dxa" w:w="244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/var/log</w:t>
            </w:r>
          </w:p>
        </w:tc>
        <w:tc>
          <w:tcPr>
            <w:tcW w:type="dxa" w:w="720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Logs</w:t>
            </w:r>
          </w:p>
        </w:tc>
      </w:tr>
      <w:tr>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/var/lib</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Application state</w:t>
            </w:r>
          </w:p>
        </w:tc>
      </w:tr>
      <w:tr>
        <w:tc>
          <w:tcPr>
            <w:tcW w:type="dxa" w:w="244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/home and /root</w:t>
            </w:r>
          </w:p>
        </w:tc>
        <w:tc>
          <w:tcPr>
            <w:tcW w:type="dxa" w:w="720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User and root home directories</w:t>
            </w:r>
          </w:p>
        </w:tc>
      </w:tr>
      <w:tr>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/opt</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Appropriate optional software</w:t>
            </w:r>
          </w:p>
        </w:tc>
      </w:tr>
      <w:tr>
        <w:tc>
          <w:tcPr>
            <w:tcW w:type="dxa" w:w="244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/usr/local</w:t>
            </w:r>
          </w:p>
        </w:tc>
        <w:tc>
          <w:tcPr>
            <w:tcW w:type="dxa" w:w="720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Locally maintained tools</w:t>
            </w:r>
          </w:p>
        </w:tc>
      </w:tr>
      <w:tr>
        <w:tc>
          <w:tcPr>
            <w:tcW w:type="dxa" w:w="24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/usr/local/sbin</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Administrative scripts with controlled source in GitHub</w:t>
            </w:r>
          </w:p>
        </w:tc>
      </w:tr>
      <w:tr>
        <w:tc>
          <w:tcPr>
            <w:tcW w:type="dxa" w:w="244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/srv</w:t>
            </w:r>
          </w:p>
        </w:tc>
        <w:tc>
          <w:tcPr>
            <w:tcW w:type="dxa" w:w="720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Applicable service data</w:t>
            </w:r>
          </w:p>
        </w:tc>
      </w:tr>
    </w:tbl>
    <w:p>
      <w:pPr>
        <w:spacing w:after="40"/>
      </w:pPr>
    </w:p>
    <w:p>
      <w:r>
        <w:t>Apply suitable ownership and permissions to local tools. Record source repository and version; do not store credentials in scripts. Role data, backups and application directories require their own capacity and recovery design rather than being added implicitly to the OS standard.</w:t>
      </w:r>
    </w:p>
    <w:p>
      <w:pPr>
        <w:pStyle w:val="Heading1"/>
      </w:pPr>
      <w:r>
        <w:t>Dependencies and implementation gates</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108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Design</w:t>
            </w:r>
          </w:p>
        </w:tc>
        <w:tc>
          <w:tcPr>
            <w:tcW w:type="dxa" w:w="39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Ownership</w:t>
            </w:r>
          </w:p>
        </w:tc>
        <w:tc>
          <w:tcPr>
            <w:tcW w:type="dxa" w:w="460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Required input</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LLD-01</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VM specifications, hypervisor configuration and storage allocation</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CPU, RAM, firmware, virtual NIC mapping and disk presentation</w:t>
            </w:r>
          </w:p>
        </w:tc>
      </w:tr>
      <w:tr>
        <w:tc>
          <w:tcPr>
            <w:tcW w:type="dxa" w:w="108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LLD-06</w:t>
            </w:r>
          </w:p>
        </w:tc>
        <w:tc>
          <w:tcPr>
            <w:tcW w:type="dxa" w:w="39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VLANs, IP addressing, routing, DNS dependencies and firewall connectivity</w:t>
            </w:r>
          </w:p>
        </w:tc>
        <w:tc>
          <w:tcPr>
            <w:tcW w:type="dxa" w:w="46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FW01 interfaces, VLANs, routing, NAT, policy and temporary DNS</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LLD-07</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Administrative access, SSH and identity management</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Administrator identities, source restrictions, SSH settings and privileges</w:t>
            </w:r>
          </w:p>
        </w:tc>
      </w:tr>
      <w:tr>
        <w:tc>
          <w:tcPr>
            <w:tcW w:type="dxa" w:w="108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LLD-09</w:t>
            </w:r>
          </w:p>
        </w:tc>
        <w:tc>
          <w:tcPr>
            <w:tcW w:type="dxa" w:w="39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Backup, recovery and rebuild requirements</w:t>
            </w:r>
          </w:p>
        </w:tc>
        <w:tc>
          <w:tcPr>
            <w:tcW w:type="dxa" w:w="46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Recovery prerequisites, backup scope and restore verification</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LLD-12</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Detailed operating system security hardening</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Hardening values, exceptions and security validation</w:t>
            </w:r>
          </w:p>
        </w:tc>
      </w:tr>
    </w:tbl>
    <w:p>
      <w:pPr>
        <w:spacing w:after="40"/>
      </w:pPr>
    </w:p>
    <w:p>
      <w:r>
        <w:t>LLD-06 supplies network and FW01 policy; LLD-07 supplies management access; LLD-12 supplies detailed security values. LLD-09 governs protection of configuration and recovery. LLD-01 remains the authority for virtual network and disk presentation.</w:t>
      </w:r>
    </w:p>
    <w:p>
      <w:pPr>
        <w:pStyle w:val="Heading1"/>
      </w:pPr>
      <w:r>
        <w:t>Traceability and unresolved settings</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1152"/>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Decision</w:t>
            </w:r>
          </w:p>
        </w:tc>
        <w:tc>
          <w:tcPr>
            <w:tcW w:type="dxa" w:w="21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Authoritative paper</w:t>
            </w:r>
          </w:p>
        </w:tc>
        <w:tc>
          <w:tcPr>
            <w:tcW w:type="dxa" w:w="633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Use in this paper</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Q07</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Q08</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LLD-02-002</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Q09</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Q10</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Q11</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Q12</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Q14</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Q15</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Q16</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Q17</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bl>
    <w:p>
      <w:pPr>
        <w:spacing w:after="40"/>
      </w:pP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3024"/>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Open item</w:t>
            </w:r>
          </w:p>
        </w:tc>
        <w:tc>
          <w:tcPr>
            <w:tcW w:type="dxa" w:w="129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Status</w:t>
            </w:r>
          </w:p>
        </w:tc>
        <w:tc>
          <w:tcPr>
            <w:tcW w:type="dxa" w:w="532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Resolution requirement</w:t>
            </w:r>
          </w:p>
        </w:tc>
      </w:tr>
      <w:t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Journal size and retention</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Proposed</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Confirm 512M / 1G proposal against requirements</w:t>
            </w:r>
          </w:p>
        </w:tc>
      </w:tr>
      <w:tr>
        <w:tc>
          <w:tcPr>
            <w:tcW w:type="dxa" w:w="302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Detector cadence and destination</w:t>
            </w:r>
          </w:p>
        </w:tc>
        <w:tc>
          <w:tcPr>
            <w:tcW w:type="dxa" w:w="12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Proposed</w:t>
            </w:r>
          </w:p>
        </w:tc>
        <w:tc>
          <w:tcPr>
            <w:tcW w:type="dxa" w:w="53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Confirm notify-only scheduling and ownership</w:t>
            </w:r>
          </w:p>
        </w:tc>
      </w:tr>
      <w:t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Network and firewall values</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LLD-06 role policy</w:t>
            </w:r>
          </w:p>
        </w:tc>
      </w:tr>
      <w:tr>
        <w:tc>
          <w:tcPr>
            <w:tcW w:type="dxa" w:w="302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Audit rules and hardening</w:t>
            </w:r>
          </w:p>
        </w:tc>
        <w:tc>
          <w:tcPr>
            <w:tcW w:type="dxa" w:w="12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LLD-12 baseline</w:t>
            </w:r>
          </w:p>
        </w:tc>
      </w:tr>
      <w:t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CORE01 and OPS01 transitions</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Record addresses, availability and migration changes</w:t>
            </w:r>
          </w:p>
        </w:tc>
      </w:tr>
    </w:tbl>
    <w:p>
      <w:pPr>
        <w:spacing w:after="40"/>
      </w:pPr>
    </w:p>
    <w:p>
      <w:r>
        <w:t>Resolve open implementation values through the responsible dependency or configuration baseline. Record the result and its reference; do not silently substitute a proposed value. A deviation from an approved decision requires explicit exception handling under LLD-02-005.</w:t>
      </w:r>
    </w:p>
    <w:p>
      <w:pPr>
        <w:pStyle w:val="Heading1"/>
      </w:pPr>
      <w:r>
        <w:t>References</w:t>
      </w:r>
    </w:p>
    <w:p>
      <w:r>
        <w:t>Project authority: LLD-02 Consolidated Design Decision Register, Project Redstone / Northwind Outdoor Ltd., Q01–Q20 and supporting requirements. Dependency identifiers refer to design responsibilities; their detailed configuration values remain to be confirmed.</w:t>
      </w:r>
    </w:p>
    <w:p>
      <w:r>
        <w:t>Technical reference: Red Hat Enterprise Linux 10 product documentation, https://docs.redhat.com/en/documentation/red_hat_enterprise_linux/10. Verify command availability and effective configuration on the installed minor release. Examples are implementation guidance, not records of executed changes.</w:t>
      </w:r>
    </w:p>
    <w:sectPr w:rsidR="00FC693F" w:rsidRPr="0006063C" w:rsidSect="00034616">
      <w:footerReference w:type="default" r:id="rId9"/>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LLD-02-003 | v0.2 Consolidated Draft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Configuration &amp; Service Management</dc:title>
  <dc:subject/>
  <dc:creator>Project Redstone</dc:creator>
  <cp:keywords/>
  <dc:description>generated by python-docx</dc:description>
  <cp:lastModifiedBy/>
  <cp:revision>1</cp:revision>
  <dcterms:created xsi:type="dcterms:W3CDTF">2013-12-23T23:15:00Z</dcterms:created>
  <dcterms:modified xsi:type="dcterms:W3CDTF">2013-12-23T23:15:00Z</dcterms:modified>
  <cp:category/>
  <cp:version>0.2</cp:version>
</cp:coreProperties>
</file>