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SSH Authentication &amp; Remote Administration</w:t>
      </w:r>
    </w:p>
    <w:p>
      <w:r>
        <w:t>LLD-07-003 | Project Redstone | Northwind Outdoor Ltd.</w:t>
      </w:r>
    </w:p>
    <w:p>
      <w:r>
        <w:t>v0.1 — Draft for Technical Review | 13 October 2026</w:t>
      </w:r>
    </w:p>
    <w:p>
      <w:r>
        <w:t>This paper specifies key-only SSH authentication and role-specific service restrictions. The workstation retains administrator private keys; JUMP01 carries the connection, and the destination independently authenticates the administrator. Hardening must be introduced without losing console recovery.</w:t>
      </w:r>
    </w:p>
    <w:p>
      <w:pPr>
        <w:pStyle w:val="Heading1"/>
      </w:pPr>
      <w:r>
        <w:t>Document control</w:t>
      </w:r>
    </w:p>
    <w:tbl>
      <w:tblPr>
        <w:tblW w:type="auto" w:w="0"/>
        <w:tblLayout w:type="fixed"/>
        <w:tblLook w:firstColumn="1" w:firstRow="1" w:lastColumn="0" w:lastRow="0" w:noHBand="0" w:noVBand="1" w:val="04A0"/>
      </w:tblPr>
      <w:tblGrid>
        <w:gridCol w:w="4874"/>
        <w:gridCol w:w="4874"/>
      </w:tblGrid>
      <w:tr>
        <w:trPr>
          <w:tblHeader/>
          <w:cantSplit/>
        </w:trPr>
        <w:tc>
          <w:tcPr>
            <w:tcW w:type="dxa" w:w="1872"/>
            <w:vAlign w:val="center"/>
            <w:shd w:fill="E4EAF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spacing w:after="60"/>
            </w:pPr>
            <w:r>
              <w:rPr>
                <w:b/>
                <w:sz w:val="18"/>
              </w:rPr>
              <w:t>Field</w:t>
            </w:r>
          </w:p>
        </w:tc>
        <w:tc>
          <w:tcPr>
            <w:tcW w:type="dxa" w:w="7877"/>
            <w:vAlign w:val="center"/>
            <w:shd w:fill="E4EAF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spacing w:after="60"/>
            </w:pPr>
            <w:r>
              <w:rPr>
                <w:b/>
                <w:sz w:val="18"/>
              </w:rPr>
              <w:t>Value</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Status</w:t>
            </w:r>
          </w:p>
        </w:tc>
        <w:tc>
          <w:tcPr>
            <w:tcW w:type="dxa" w:w="7877"/>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v0.1 — Draft for Technical Review; working paper not reviewed or baselined</w:t>
            </w:r>
          </w:p>
        </w:tc>
      </w:tr>
      <w:tr>
        <w:trPr>
          <w:cantSplit/>
        </w:trPr>
        <w:tc>
          <w:tcPr>
            <w:tcW w:type="dxa" w:w="1872"/>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Design authority</w:t>
            </w:r>
          </w:p>
        </w:tc>
        <w:tc>
          <w:tcPr>
            <w:tcW w:type="dxa" w:w="7877"/>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Authoritative Design Handover; Q01–Q15 map directly to LLD-07-DD01–DD15</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Owner</w:t>
            </w:r>
          </w:p>
        </w:tc>
        <w:tc>
          <w:tcPr>
            <w:tcW w:type="dxa" w:w="7877"/>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Project owner; named document custodian TBD</w:t>
            </w:r>
          </w:p>
        </w:tc>
      </w:tr>
      <w:tr>
        <w:trPr>
          <w:cantSplit/>
        </w:trPr>
        <w:tc>
          <w:tcPr>
            <w:tcW w:type="dxa" w:w="1872"/>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Reviewers</w:t>
            </w:r>
          </w:p>
        </w:tc>
        <w:tc>
          <w:tcPr>
            <w:tcW w:type="dxa" w:w="7877"/>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Proposed: Linux design reviewer, infrastructure owner and security reviewer</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Revision</w:t>
            </w:r>
          </w:p>
        </w:tc>
        <w:tc>
          <w:tcPr>
            <w:tcW w:type="dxa" w:w="7877"/>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0.1 | 13 October 2026 | Initial coordinated five-paper issue</w:t>
            </w:r>
          </w:p>
        </w:tc>
      </w:tr>
      <w:tr>
        <w:trPr>
          <w:cantSplit/>
        </w:trPr>
        <w:tc>
          <w:tcPr>
            <w:tcW w:type="dxa" w:w="1872"/>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Approval</w:t>
            </w:r>
          </w:p>
        </w:tc>
        <w:tc>
          <w:tcPr>
            <w:tcW w:type="dxa" w:w="7877"/>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Approver, date, reference and baseline identifier: TBD</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Evidence status</w:t>
            </w:r>
          </w:p>
        </w:tc>
        <w:tc>
          <w:tcPr>
            <w:tcW w:type="dxa" w:w="7877"/>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Design only. No implementation outcome or test result is asserted.</w:t>
            </w:r>
          </w:p>
        </w:tc>
      </w:tr>
    </w:tbl>
    <w:p>
      <w:pPr>
        <w:spacing w:after="80" w:before="0" w:line="20" w:lineRule="exact"/>
      </w:pPr>
      <w:r>
        <w:rPr>
          <w:sz w:val="2"/>
        </w:rPr>
        <w:t xml:space="preserve"> </w:t>
      </w:r>
    </w:p>
    <w:p>
      <w:r>
        <w:t>Approved identifies the explicitly agreed decisions. Proposed identifies an implementation recommendation requiring confirmation. TBD identifies an unresolved technical value. Pending source verification identifies references awaiting comparison with unavailable design sources. Draft document status does not reopen approved decisions.</w:t>
      </w:r>
    </w:p>
    <w:p>
      <w:pPr>
        <w:pStyle w:val="Heading1"/>
      </w:pPr>
      <w:r>
        <w:t>Purpose scope and boundaries</w:t>
      </w:r>
    </w:p>
    <w:p>
      <w:r>
        <w:t>Owns Q07–Q09: SSH authentication, key lifecycle, host-key trust and common versus role-specific SSH restrictions. Network path ownership remains 002 and LLD-06; sudo and recovery credentials remain 004. SSH CA infrastructure is excluded from v1.</w:t>
      </w:r>
    </w:p>
    <w:p>
      <w:pPr>
        <w:pStyle w:val="Heading1"/>
      </w:pPr>
      <w:r>
        <w:t>Approved design decisions</w:t>
      </w:r>
    </w:p>
    <w:p>
      <w:pPr>
        <w:pStyle w:val="Heading2"/>
      </w:pPr>
      <w:r>
        <w:t>Q07 / LLD-07-DD07 SSH Authentication Policy</w:t>
      </w:r>
    </w:p>
    <w:p>
      <w:r>
        <w:t>Option B — SSH Keys Only.</w:t>
      </w:r>
    </w:p>
    <w:p>
      <w:r>
        <w:t>Routine remote administration shall require SSH public-key authentication.</w:t>
      </w:r>
    </w:p>
    <w:p>
      <w:r>
        <w:t>Password-based SSH authentication shall be disabled after successful verification of key-based access.</w:t>
      </w:r>
    </w:p>
    <w:p>
      <w:r>
        <w:t>Direct root SSH login shall be prohibited.</w:t>
      </w:r>
    </w:p>
    <w:p>
      <w:r>
        <w:t>Protected local passwords and console-based recovery shall remain available.</w:t>
      </w:r>
    </w:p>
    <w:p>
      <w:pPr>
        <w:pStyle w:val="Heading2"/>
      </w:pPr>
      <w:r>
        <w:t>Q08 / LLD-07-DD08 SSH Key Standards and Management</w:t>
      </w:r>
    </w:p>
    <w:p>
      <w:r>
        <w:t>Option B — Ed25519 Keys with Documented Lifecycle.</w:t>
      </w:r>
    </w:p>
    <w:p>
      <w:r>
        <w:t>Administrators shall use individually assigned, passphrase-protected Ed25519 SSH key pairs, subject to compatibility with the applicable RHEL cryptographic policy.</w:t>
      </w:r>
    </w:p>
    <w:p>
      <w:r>
        <w:t>Private keys shall remain on approved administrative workstations.</w:t>
      </w:r>
    </w:p>
    <w:p>
      <w:r>
        <w:t>Public-key distribution, fingerprint records, key replacement, revocation and SSH host-key verification shall follow documented procedures.</w:t>
      </w:r>
    </w:p>
    <w:p>
      <w:r>
        <w:t>SSH certificate-authority infrastructure is not required for Northwind v1.</w:t>
      </w:r>
    </w:p>
    <w:p>
      <w:pPr>
        <w:pStyle w:val="Heading2"/>
      </w:pPr>
      <w:r>
        <w:t>Q09 / LLD-07-DD09 SSH Server Hardening and Connection Restrictions</w:t>
      </w:r>
    </w:p>
    <w:p>
      <w:r>
        <w:t>Option B — Role-Specific SSH Hardening.</w:t>
      </w:r>
    </w:p>
    <w:p>
      <w:r>
        <w:t>All RHEL servers shall follow a common SSH security baseline.</w:t>
      </w:r>
    </w:p>
    <w:p>
      <w:r>
        <w:t>JUMP01 shall have additional restrictions governing permitted sources, SSH forwarding destinations and unnecessary forwarding capabilities.</w:t>
      </w:r>
    </w:p>
    <w:p>
      <w:r>
        <w:t>FW01 management SSH shall be restricted to approved administrative paths.</w:t>
      </w:r>
    </w:p>
    <w:p>
      <w:r>
        <w:t>Internal RHEL servers shall restrict routine SSH access to JUMP01, subject to documented exceptions.</w:t>
      </w:r>
    </w:p>
    <w:p>
      <w:r>
        <w:t>Host-level firewalld restrictions shall complement FW01 network controls.</w:t>
      </w:r>
    </w:p>
    <w:p>
      <w:pPr>
        <w:pStyle w:val="Heading1"/>
      </w:pPr>
      <w:r>
        <w:t>SSH security baseline</w:t>
      </w:r>
    </w:p>
    <w:tbl>
      <w:tblPr>
        <w:tblW w:type="auto" w:w="0"/>
        <w:tblLayout w:type="fixed"/>
        <w:tblLook w:firstColumn="1" w:firstRow="1" w:lastColumn="0" w:lastRow="0" w:noHBand="0" w:noVBand="1" w:val="04A0"/>
      </w:tblPr>
      <w:tblGrid>
        <w:gridCol w:w="3250"/>
        <w:gridCol w:w="3250"/>
        <w:gridCol w:w="3250"/>
      </w:tblGrid>
      <w:tr>
        <w:trPr>
          <w:tblHeader/>
          <w:cantSplit/>
        </w:trPr>
        <w:tc>
          <w:tcPr>
            <w:tcW w:type="dxa" w:w="1944"/>
            <w:vAlign w:val="center"/>
            <w:shd w:fill="E4EAF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spacing w:after="60"/>
            </w:pPr>
            <w:r>
              <w:rPr>
                <w:b/>
                <w:sz w:val="18"/>
              </w:rPr>
              <w:t>Control</w:t>
            </w:r>
          </w:p>
        </w:tc>
        <w:tc>
          <w:tcPr>
            <w:tcW w:type="dxa" w:w="3816"/>
            <w:vAlign w:val="center"/>
            <w:shd w:fill="E4EAF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spacing w:after="60"/>
            </w:pPr>
            <w:r>
              <w:rPr>
                <w:b/>
                <w:sz w:val="18"/>
              </w:rPr>
              <w:t>Required outcome</w:t>
            </w:r>
          </w:p>
        </w:tc>
        <w:tc>
          <w:tcPr>
            <w:tcW w:type="dxa" w:w="3989"/>
            <w:vAlign w:val="center"/>
            <w:shd w:fill="E4EAF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spacing w:after="60"/>
            </w:pPr>
            <w:r>
              <w:rPr>
                <w:b/>
                <w:sz w:val="18"/>
              </w:rPr>
              <w:t>Implementation consideration</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Public-key authentication</w:t>
            </w:r>
          </w:p>
        </w:tc>
        <w:tc>
          <w:tcPr>
            <w:tcW w:type="dxa" w:w="381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Routine remote access uses personal keys only</w:t>
            </w:r>
          </w:p>
        </w:tc>
        <w:tc>
          <w:tcPr>
            <w:tcW w:type="dxa" w:w="3989"/>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Disable password and keyboard-interactive alternatives after successful key validation</w:t>
            </w:r>
          </w:p>
        </w:tc>
      </w:tr>
      <w:tr>
        <w:trPr>
          <w:cantSplit/>
        </w:trPr>
        <w:tc>
          <w:tcPr>
            <w:tcW w:type="dxa" w:w="1944"/>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Root SSH</w:t>
            </w:r>
          </w:p>
        </w:tc>
        <w:tc>
          <w:tcPr>
            <w:tcW w:type="dxa" w:w="3816"/>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Direct root SSH rejected</w:t>
            </w:r>
          </w:p>
        </w:tc>
        <w:tc>
          <w:tcPr>
            <w:tcW w:type="dxa" w:w="3989"/>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Keep protected local passwords for console; do not lock out emergency recovery</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Account allowlist</w:t>
            </w:r>
          </w:p>
        </w:tc>
        <w:tc>
          <w:tcPr>
            <w:tcW w:type="dxa" w:w="381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Only authorised named accounts access each host</w:t>
            </w:r>
          </w:p>
        </w:tc>
        <w:tc>
          <w:tcPr>
            <w:tcW w:type="dxa" w:w="3989"/>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Confirm account or group match rules and actual entitlements</w:t>
            </w:r>
          </w:p>
        </w:tc>
      </w:tr>
      <w:tr>
        <w:trPr>
          <w:cantSplit/>
        </w:trPr>
        <w:tc>
          <w:tcPr>
            <w:tcW w:type="dxa" w:w="1944"/>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SELinux and firewalld</w:t>
            </w:r>
          </w:p>
        </w:tc>
        <w:tc>
          <w:tcPr>
            <w:tcW w:type="dxa" w:w="3816"/>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SELinux enforcing and host firewalls enabled</w:t>
            </w:r>
          </w:p>
        </w:tc>
        <w:tc>
          <w:tcPr>
            <w:tcW w:type="dxa" w:w="3989"/>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Troubleshoot labels, policy and sources; do not disable protections to obtain access</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Logging and time</w:t>
            </w:r>
          </w:p>
        </w:tc>
        <w:tc>
          <w:tcPr>
            <w:tcW w:type="dxa" w:w="381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Persistent journal and usable authentication evidence</w:t>
            </w:r>
          </w:p>
        </w:tc>
        <w:tc>
          <w:tcPr>
            <w:tcW w:type="dxa" w:w="3989"/>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chronyd baseline; verify temporary time source before CORE01</w:t>
            </w:r>
          </w:p>
        </w:tc>
      </w:tr>
      <w:tr>
        <w:trPr>
          <w:cantSplit/>
        </w:trPr>
        <w:tc>
          <w:tcPr>
            <w:tcW w:type="dxa" w:w="1944"/>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Host keys</w:t>
            </w:r>
          </w:p>
        </w:tc>
        <w:tc>
          <w:tcPr>
            <w:tcW w:type="dxa" w:w="3816"/>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Destination identity checked independently</w:t>
            </w:r>
          </w:p>
        </w:tc>
        <w:tc>
          <w:tcPr>
            <w:tcW w:type="dxa" w:w="3989"/>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Verify fingerprints using trusted console or controlled provisioning evidence</w:t>
            </w:r>
          </w:p>
        </w:tc>
      </w:tr>
    </w:tbl>
    <w:p>
      <w:pPr>
        <w:spacing w:after="80" w:before="0" w:line="20" w:lineRule="exact"/>
      </w:pPr>
      <w:r>
        <w:rPr>
          <w:sz w:val="2"/>
        </w:rPr>
        <w:t xml:space="preserve"> </w:t>
      </w:r>
    </w:p>
    <w:p>
      <w:r>
        <w:t>Proposed baseline directives include PubkeyAuthentication yes, PasswordAuthentication no, KbdInteractiveAuthentication no and PermitRootLogin no. Maintain supported PAM integration for account and session controls; disabling PAM is not required by the approved key-only decision. AuthenticationMethods publickey is a proposed additional constraint subject to installed-package validation. Effective configuration, including Include ordering and Match blocks, must be checked rather than inferred from one file.</w:t>
      </w:r>
    </w:p>
    <w:p>
      <w:pPr>
        <w:pStyle w:val="Heading1"/>
      </w:pPr>
      <w:r>
        <w:t>Role-specific restrictions</w:t>
      </w:r>
    </w:p>
    <w:p>
      <w:pPr>
        <w:pStyle w:val="Heading2"/>
      </w:pPr>
      <w:r>
        <w:t>JUMP01</w:t>
      </w:r>
    </w:p>
    <w:p>
      <w:r>
        <w:t>JUMP01 permits approved workstation sources, named maintenance logins and the TCP forwarding required by ProxyJump. Proposed controls are AllowTcpForwarding local with a restricted PermitOpen destination-and-port list, AllowAgentForwarding no, X11Forwarding no and PermitTunnel no. Restrict or disable remote forwarding and unrelated Unix-socket forwarding where supported. Do not set DisableForwarding yes on the ProxyJump account because that would disable the approved path.</w:t>
      </w:r>
    </w:p>
    <w:p>
      <w:r>
        <w:t>Confirm exact destination names, address resolution and port values before writing PermitOpen. Test both hostname and address representations used by clients: matching and resolution behaviour can affect enforcement. Server-side forwarding restrictions do not replace egress firewall policy. A user with an interactive shell may create connections outside SSH forwarding controls, so host and FW01 egress restrictions must enforce the intended reachable destination scope.</w:t>
      </w:r>
    </w:p>
    <w:p>
      <w:pPr>
        <w:pStyle w:val="Heading2"/>
      </w:pPr>
      <w:r>
        <w:t>FW01 and internal RHEL destinations</w:t>
      </w:r>
    </w:p>
    <w:p>
      <w:r>
        <w:t>FW01 management SSH is allowed only over approved administrative paths. The exact FW01 management source/path must be confirmed with LLD-06 before rules are written; do not assume an extra direct laptop exception. Internal servers restrict routine SSH to JUMP01, with any exception explicitly documented. Proposed default on ordinary targets is to disable SSH forwarding where no service need exists. Apply host-level firewalld source restrictions using actual observed source addresses, not guessed ones.</w:t>
      </w:r>
    </w:p>
    <w:p>
      <w:pPr>
        <w:pStyle w:val="Heading1"/>
      </w:pPr>
      <w:r>
        <w:t>Key generation distribution and lifecycle</w:t>
      </w:r>
    </w:p>
    <w:p>
      <w:r>
        <w:t>Approved standard: personal passphrase-protected Ed25519 pairs, subject to applicable RHEL cryptographic policy compatibility. Check the actual active system crypto policy and installed package support on every host. Ed25519 may be unavailable under some compliance policies; this is an implementation compatibility gate, not authority to weaken policy or silently change key algorithms. If incompatible, record the conflict and obtain an approved compatible implementation decision before commissioning.</w:t>
      </w:r>
    </w:p>
    <w:tbl>
      <w:tblPr>
        <w:tblW w:type="auto" w:w="0"/>
        <w:tblLayout w:type="fixed"/>
        <w:tblLook w:firstColumn="1" w:firstRow="1" w:lastColumn="0" w:lastRow="0" w:noHBand="0" w:noVBand="1" w:val="04A0"/>
      </w:tblPr>
      <w:tblGrid>
        <w:gridCol w:w="4874"/>
        <w:gridCol w:w="4874"/>
      </w:tblGrid>
      <w:tr>
        <w:trPr>
          <w:tblHeader/>
          <w:cantSplit/>
        </w:trPr>
        <w:tc>
          <w:tcPr>
            <w:tcW w:type="dxa" w:w="1728"/>
            <w:vAlign w:val="center"/>
            <w:shd w:fill="E4EAF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spacing w:after="60"/>
            </w:pPr>
            <w:r>
              <w:rPr>
                <w:b/>
                <w:sz w:val="18"/>
              </w:rPr>
              <w:t>Lifecycle stage</w:t>
            </w:r>
          </w:p>
        </w:tc>
        <w:tc>
          <w:tcPr>
            <w:tcW w:type="dxa" w:w="8021"/>
            <w:vAlign w:val="center"/>
            <w:shd w:fill="E4EAF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spacing w:after="60"/>
            </w:pPr>
            <w:r>
              <w:rPr>
                <w:b/>
                <w:sz w:val="18"/>
              </w:rPr>
              <w:t>Required procedure and evidence</w:t>
            </w:r>
          </w:p>
        </w:tc>
      </w:tr>
      <w:tr>
        <w:trPr>
          <w:cantSplit/>
        </w:trPr>
        <w:tc>
          <w:tcPr>
            <w:tcW w:type="dxa" w:w="172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Create</w:t>
            </w:r>
          </w:p>
        </w:tc>
        <w:tc>
          <w:tcPr>
            <w:tcW w:type="dxa" w:w="8021"/>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Generate on approved Ubuntu device; select a passphrase; record algorithm and public-key fingerprint only</w:t>
            </w:r>
          </w:p>
        </w:tc>
      </w:tr>
      <w:tr>
        <w:trPr>
          <w:cantSplit/>
        </w:trPr>
        <w:tc>
          <w:tcPr>
            <w:tcW w:type="dxa" w:w="1728"/>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Distribute</w:t>
            </w:r>
          </w:p>
        </w:tc>
        <w:tc>
          <w:tcPr>
            <w:tcW w:type="dxa" w:w="8021"/>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Install only public keys into the authorised named account using verified console or already trusted administration; record host targets</w:t>
            </w:r>
          </w:p>
        </w:tc>
      </w:tr>
      <w:tr>
        <w:trPr>
          <w:cantSplit/>
        </w:trPr>
        <w:tc>
          <w:tcPr>
            <w:tcW w:type="dxa" w:w="172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Protect</w:t>
            </w:r>
          </w:p>
        </w:tc>
        <w:tc>
          <w:tcPr>
            <w:tcW w:type="dxa" w:w="8021"/>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Retain private keys on approved workstation; proposed owner-only permissions and controlled local agent use without forwarding</w:t>
            </w:r>
          </w:p>
        </w:tc>
      </w:tr>
      <w:tr>
        <w:trPr>
          <w:cantSplit/>
        </w:trPr>
        <w:tc>
          <w:tcPr>
            <w:tcW w:type="dxa" w:w="1728"/>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Verify host identity</w:t>
            </w:r>
          </w:p>
        </w:tc>
        <w:tc>
          <w:tcPr>
            <w:tcW w:type="dxa" w:w="8021"/>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Obtain host-key fingerprints through trusted console/build records; validate first connection and expected identities</w:t>
            </w:r>
          </w:p>
        </w:tc>
      </w:tr>
      <w:tr>
        <w:trPr>
          <w:cantSplit/>
        </w:trPr>
        <w:tc>
          <w:tcPr>
            <w:tcW w:type="dxa" w:w="172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Replace</w:t>
            </w:r>
          </w:p>
        </w:tc>
        <w:tc>
          <w:tcPr>
            <w:tcW w:type="dxa" w:w="8021"/>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Record reason and new fingerprint; validate new key before removing old key during planned replacement</w:t>
            </w:r>
          </w:p>
        </w:tc>
      </w:tr>
      <w:tr>
        <w:trPr>
          <w:cantSplit/>
        </w:trPr>
        <w:tc>
          <w:tcPr>
            <w:tcW w:type="dxa" w:w="1728"/>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Revoke</w:t>
            </w:r>
          </w:p>
        </w:tc>
        <w:tc>
          <w:tcPr>
            <w:tcW w:type="dxa" w:w="8021"/>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Remove compromised/obsolete public keys everywhere, assess sessions and related privileges; verify rejection</w:t>
            </w:r>
          </w:p>
        </w:tc>
      </w:tr>
      <w:tr>
        <w:trPr>
          <w:cantSplit/>
        </w:trPr>
        <w:tc>
          <w:tcPr>
            <w:tcW w:type="dxa" w:w="172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Rebuild</w:t>
            </w:r>
          </w:p>
        </w:tc>
        <w:tc>
          <w:tcPr>
            <w:tcW w:type="dxa" w:w="8021"/>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Expect possible host-key change; verify new fingerprints against recovery evidence before updating known_hosts</w:t>
            </w:r>
          </w:p>
        </w:tc>
      </w:tr>
    </w:tbl>
    <w:p>
      <w:pPr>
        <w:spacing w:after="80" w:before="0" w:line="20" w:lineRule="exact"/>
      </w:pPr>
      <w:r>
        <w:rPr>
          <w:sz w:val="2"/>
        </w:rPr>
        <w:t xml:space="preserve"> </w:t>
      </w:r>
    </w:p>
    <w:p>
      <w:r>
        <w:t>Do not copy private keys to JUMP01 or place private-key material, passphrases or credentials in configuration backups, evidence packages or the portfolio. Key rotation frequency, replacement trigger policy and retention of superseded fingerprint records remain TBD. A suspected compromise requires prompt containment under the offboarding and recovery procedures rather than waiting for a scheduled rotation.</w:t>
      </w:r>
    </w:p>
    <w:p>
      <w:pPr>
        <w:pStyle w:val="Heading1"/>
      </w:pPr>
      <w:r>
        <w:t>Safe implementation and change sequence</w:t>
      </w:r>
    </w:p>
    <w:p>
      <w:r>
        <w:t>1. Confirm independent console access, protected recovery credentials, named account and sudo prerequisites under 004. Preserve current approved SSH and firewall configuration under 005.</w:t>
      </w:r>
    </w:p>
    <w:p>
      <w:r>
        <w:t>2. Confirm crypto policy and public-key support. Install public keys, verify file ownership/permissions and SELinux contexts, and establish host-key trust.</w:t>
      </w:r>
    </w:p>
    <w:p>
      <w:r>
        <w:t>3. Test named key-based login and ProxyJump in a new independent client session while retaining the console and existing management session.</w:t>
      </w:r>
    </w:p>
    <w:p>
      <w:r>
        <w:t>4. Validate proposed SSH configuration syntax and effective per-user/per-source settings. Proposed diagnostic tools are sshd -t and sshd -T with suitable connection context; confirm their installed behaviour.</w:t>
      </w:r>
    </w:p>
    <w:p>
      <w:r>
        <w:t>5. Disable password SSH and root SSH only after key-based access works. Apply role-specific forwarding and host firewall restrictions using the recorded source/destination scope.</w:t>
      </w:r>
    </w:p>
    <w:p>
      <w:r>
        <w:t>6. Test new sessions and prohibited authentication paths. Retain console access until acceptance gates pass; recover the last approved configuration through console if a change blocks access.</w:t>
      </w:r>
    </w:p>
    <w:p>
      <w:pPr>
        <w:pStyle w:val="Heading1"/>
      </w:pPr>
      <w:r>
        <w:t>Positive and negative verification</w:t>
      </w:r>
    </w:p>
    <w:tbl>
      <w:tblPr>
        <w:tblW w:type="auto" w:w="0"/>
        <w:tblLayout w:type="fixed"/>
        <w:tblLook w:firstColumn="1" w:firstRow="1" w:lastColumn="0" w:lastRow="0" w:noHBand="0" w:noVBand="1" w:val="04A0"/>
      </w:tblPr>
      <w:tblGrid>
        <w:gridCol w:w="4874"/>
        <w:gridCol w:w="4874"/>
      </w:tblGrid>
      <w:tr>
        <w:trPr>
          <w:tblHeader/>
          <w:cantSplit/>
        </w:trPr>
        <w:tc>
          <w:tcPr>
            <w:tcW w:type="dxa" w:w="2376"/>
            <w:vAlign w:val="center"/>
            <w:shd w:fill="E4EAF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spacing w:after="60"/>
            </w:pPr>
            <w:r>
              <w:rPr>
                <w:b/>
                <w:sz w:val="18"/>
              </w:rPr>
              <w:t>Test</w:t>
            </w:r>
          </w:p>
        </w:tc>
        <w:tc>
          <w:tcPr>
            <w:tcW w:type="dxa" w:w="7373"/>
            <w:vAlign w:val="center"/>
            <w:shd w:fill="E4EAF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spacing w:after="60"/>
            </w:pPr>
            <w:r>
              <w:rPr>
                <w:b/>
                <w:sz w:val="18"/>
              </w:rPr>
              <w:t>Expected result and evidence</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T10 Key and host identity</w:t>
            </w:r>
          </w:p>
        </w:tc>
        <w:tc>
          <w:tcPr>
            <w:tcW w:type="dxa" w:w="7373"/>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Approved personal key succeeds; expected target host-key fingerprint verified</w:t>
            </w:r>
          </w:p>
        </w:tc>
      </w:tr>
      <w:tr>
        <w:trPr>
          <w:cantSplit/>
        </w:trPr>
        <w:tc>
          <w:tcPr>
            <w:tcW w:type="dxa" w:w="2376"/>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T11 Password and root</w:t>
            </w:r>
          </w:p>
        </w:tc>
        <w:tc>
          <w:tcPr>
            <w:tcW w:type="dxa" w:w="7373"/>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Password-only, keyboard-interactive fallback and root SSH rejected; local console recovery retained</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T12 Wrong key or user</w:t>
            </w:r>
          </w:p>
        </w:tc>
        <w:tc>
          <w:tcPr>
            <w:tcW w:type="dxa" w:w="7373"/>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Unknown/revoked key and unauthorised named account rejected at target</w:t>
            </w:r>
          </w:p>
        </w:tc>
      </w:tr>
      <w:tr>
        <w:trPr>
          <w:cantSplit/>
        </w:trPr>
        <w:tc>
          <w:tcPr>
            <w:tcW w:type="dxa" w:w="2376"/>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T13 Forwarding restrictions</w:t>
            </w:r>
          </w:p>
        </w:tc>
        <w:tc>
          <w:tcPr>
            <w:tcW w:type="dxa" w:w="7373"/>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ProxyJump to allowed target succeeds; unapproved target, remote forwarding, agent/X11/tunnel use rejected as configured</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T14 Baseline persistence</w:t>
            </w:r>
          </w:p>
        </w:tc>
        <w:tc>
          <w:tcPr>
            <w:tcW w:type="dxa" w:w="7373"/>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Effective configuration and firewall restrictions retained after restart; SELinux enforcing and logs available</w:t>
            </w:r>
          </w:p>
        </w:tc>
      </w:tr>
    </w:tbl>
    <w:p>
      <w:pPr>
        <w:spacing w:after="80" w:before="0" w:line="20" w:lineRule="exact"/>
      </w:pPr>
      <w:r>
        <w:rPr>
          <w:sz w:val="2"/>
        </w:rPr>
        <w:t xml:space="preserve"> </w:t>
      </w:r>
    </w:p>
    <w:p>
      <w:r>
        <w:t>Actual results remain unexecuted. Paper 005 records commands, context, expected versus actual behaviour and evidence. A client declining an offered password is insufficient evidence that the server rejects password authentication; explicitly test server-side policy and effective settings.</w:t>
      </w:r>
    </w:p>
    <w:p>
      <w:pPr>
        <w:pStyle w:val="Heading1"/>
      </w:pPr>
      <w:r>
        <w:t>Dependencies and source reconciliation</w:t>
      </w:r>
    </w:p>
    <w:tbl>
      <w:tblPr>
        <w:tblW w:type="auto" w:w="0"/>
        <w:tblLayout w:type="fixed"/>
        <w:tblLook w:firstColumn="1" w:firstRow="1" w:lastColumn="0" w:lastRow="0" w:noHBand="0" w:noVBand="1" w:val="04A0"/>
      </w:tblPr>
      <w:tblGrid>
        <w:gridCol w:w="4874"/>
        <w:gridCol w:w="4874"/>
      </w:tblGrid>
      <w:tr>
        <w:trPr>
          <w:tblHeader/>
          <w:cantSplit/>
        </w:trPr>
        <w:tc>
          <w:tcPr>
            <w:tcW w:type="dxa" w:w="1440"/>
            <w:vAlign w:val="center"/>
            <w:shd w:fill="E4EAF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spacing w:after="60"/>
            </w:pPr>
            <w:r>
              <w:rPr>
                <w:b/>
                <w:sz w:val="18"/>
              </w:rPr>
              <w:t>Design</w:t>
            </w:r>
          </w:p>
        </w:tc>
        <w:tc>
          <w:tcPr>
            <w:tcW w:type="dxa" w:w="8309"/>
            <w:vAlign w:val="center"/>
            <w:shd w:fill="E4EAF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spacing w:after="60"/>
            </w:pPr>
            <w:r>
              <w:rPr>
                <w:b/>
                <w:sz w:val="18"/>
              </w:rPr>
              <w:t>Dependency and verification status</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LLD-01</w:t>
            </w:r>
          </w:p>
        </w:tc>
        <w:tc>
          <w:tcPr>
            <w:tcW w:type="dxa" w:w="8309"/>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HYP01 independent management, VM interface attachment and recovery. Pending source verification.</w:t>
            </w:r>
          </w:p>
        </w:tc>
      </w:tr>
      <w:tr>
        <w:trPr>
          <w:cantSplit/>
        </w:trPr>
        <w:tc>
          <w:tcPr>
            <w:tcW w:type="dxa" w:w="1440"/>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LLD-02</w:t>
            </w:r>
          </w:p>
        </w:tc>
        <w:tc>
          <w:tcPr>
            <w:tcW w:type="dxa" w:w="8309"/>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Five local v0.2 papers reviewed for RHEL baseline compatibility. Detailed reconciliation notes in the set report.</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LLD-06</w:t>
            </w:r>
          </w:p>
        </w:tc>
        <w:tc>
          <w:tcPr>
            <w:tcW w:type="dxa" w:w="8309"/>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VLANs, explicit routes, FW01 stateful controls and approved path exceptions. Pending source verification.</w:t>
            </w:r>
          </w:p>
        </w:tc>
      </w:tr>
      <w:tr>
        <w:trPr>
          <w:cantSplit/>
        </w:trPr>
        <w:tc>
          <w:tcPr>
            <w:tcW w:type="dxa" w:w="1440"/>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LLD-09</w:t>
            </w:r>
          </w:p>
        </w:tc>
        <w:tc>
          <w:tcPr>
            <w:tcW w:type="dxa" w:w="8309"/>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Preservation, restore sources and rebuild dependencies. Source unavailable; Pending source verification.</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LLD-12</w:t>
            </w:r>
          </w:p>
        </w:tc>
        <w:tc>
          <w:tcPr>
            <w:tcW w:type="dxa" w:w="8309"/>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Detailed hardening, cryptographic policy and exception handling. Source unavailable; Pending source verification.</w:t>
            </w:r>
          </w:p>
        </w:tc>
      </w:tr>
      <w:tr>
        <w:trPr>
          <w:cantSplit/>
        </w:trPr>
        <w:tc>
          <w:tcPr>
            <w:tcW w:type="dxa" w:w="1440"/>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LLD-07 siblings</w:t>
            </w:r>
          </w:p>
        </w:tc>
        <w:tc>
          <w:tcPr>
            <w:tcW w:type="dxa" w:w="8309"/>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001 trust; 002 paths; 003 SSH; 004 privilege and console lifecycle; 005 acceptance and recovery. Each control has one owning paper.</w:t>
            </w:r>
          </w:p>
        </w:tc>
      </w:tr>
    </w:tbl>
    <w:p>
      <w:pPr>
        <w:spacing w:after="80" w:before="0" w:line="20" w:lineRule="exact"/>
      </w:pPr>
      <w:r>
        <w:rPr>
          <w:sz w:val="2"/>
        </w:rPr>
        <w:t xml:space="preserve"> </w:t>
      </w:r>
    </w:p>
    <w:p>
      <w:pPr>
        <w:pStyle w:val="Heading1"/>
      </w:pPr>
      <w:r>
        <w:t>Outstanding implementation details</w:t>
      </w:r>
    </w:p>
    <w:tbl>
      <w:tblPr>
        <w:tblW w:type="auto" w:w="0"/>
        <w:tblLayout w:type="fixed"/>
        <w:tblLook w:firstColumn="1" w:firstRow="1" w:lastColumn="0" w:lastRow="0" w:noHBand="0" w:noVBand="1" w:val="04A0"/>
      </w:tblPr>
      <w:tblGrid>
        <w:gridCol w:w="3250"/>
        <w:gridCol w:w="3250"/>
        <w:gridCol w:w="3250"/>
      </w:tblGrid>
      <w:tr>
        <w:trPr>
          <w:tblHeader/>
          <w:cantSplit/>
        </w:trPr>
        <w:tc>
          <w:tcPr>
            <w:tcW w:type="dxa" w:w="2376"/>
            <w:vAlign w:val="center"/>
            <w:shd w:fill="E4EAF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spacing w:after="60"/>
            </w:pPr>
            <w:r>
              <w:rPr>
                <w:b/>
                <w:sz w:val="18"/>
              </w:rPr>
              <w:t>Item</w:t>
            </w:r>
          </w:p>
        </w:tc>
        <w:tc>
          <w:tcPr>
            <w:tcW w:type="dxa" w:w="936"/>
            <w:vAlign w:val="center"/>
            <w:shd w:fill="E4EAF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spacing w:after="60"/>
            </w:pPr>
            <w:r>
              <w:rPr>
                <w:b/>
                <w:sz w:val="18"/>
              </w:rPr>
              <w:t>Status</w:t>
            </w:r>
          </w:p>
        </w:tc>
        <w:tc>
          <w:tcPr>
            <w:tcW w:type="dxa" w:w="6437"/>
            <w:vAlign w:val="center"/>
            <w:shd w:fill="E4EAF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spacing w:after="60"/>
            </w:pPr>
            <w:r>
              <w:rPr>
                <w:b/>
                <w:sz w:val="18"/>
              </w:rPr>
              <w:t>Required resolution</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Crypto policy compatibility</w:t>
            </w:r>
          </w:p>
        </w:tc>
        <w:tc>
          <w:tcPr>
            <w:tcW w:type="dxa" w:w="93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TBD</w:t>
            </w:r>
          </w:p>
        </w:tc>
        <w:tc>
          <w:tcPr>
            <w:tcW w:type="dxa" w:w="6437"/>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Record active policy, supported key algorithms and incompatibility disposition.</w:t>
            </w:r>
          </w:p>
        </w:tc>
      </w:tr>
      <w:tr>
        <w:trPr>
          <w:cantSplit/>
        </w:trPr>
        <w:tc>
          <w:tcPr>
            <w:tcW w:type="dxa" w:w="2376"/>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SSH concrete values</w:t>
            </w:r>
          </w:p>
        </w:tc>
        <w:tc>
          <w:tcPr>
            <w:tcW w:type="dxa" w:w="936"/>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TBD</w:t>
            </w:r>
          </w:p>
        </w:tc>
        <w:tc>
          <w:tcPr>
            <w:tcW w:type="dxa" w:w="6437"/>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Confirm package syntax, allowlist names, PermitOpen entries and FW01 path.</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Key and host-key register</w:t>
            </w:r>
          </w:p>
        </w:tc>
        <w:tc>
          <w:tcPr>
            <w:tcW w:type="dxa" w:w="93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TBD</w:t>
            </w:r>
          </w:p>
        </w:tc>
        <w:tc>
          <w:tcPr>
            <w:tcW w:type="dxa" w:w="6437"/>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Capture actual fingerprints, key distribution and trusted verification method.</w:t>
            </w:r>
          </w:p>
        </w:tc>
      </w:tr>
      <w:tr>
        <w:trPr>
          <w:cantSplit/>
        </w:trPr>
        <w:tc>
          <w:tcPr>
            <w:tcW w:type="dxa" w:w="2376"/>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Lifecycle intervals</w:t>
            </w:r>
          </w:p>
        </w:tc>
        <w:tc>
          <w:tcPr>
            <w:tcW w:type="dxa" w:w="936"/>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TBD</w:t>
            </w:r>
          </w:p>
        </w:tc>
        <w:tc>
          <w:tcPr>
            <w:tcW w:type="dxa" w:w="6437"/>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Set review/rotation triggers, evidence retention and incident handling responsibilities.</w:t>
            </w:r>
          </w:p>
        </w:tc>
      </w:tr>
    </w:tbl>
    <w:p>
      <w:pPr>
        <w:spacing w:after="80" w:before="0" w:line="20" w:lineRule="exact"/>
      </w:pPr>
      <w:r>
        <w:rPr>
          <w:sz w:val="2"/>
        </w:rPr>
        <w:t xml:space="preserve"> </w:t>
      </w:r>
    </w:p>
    <w:p>
      <w:r>
        <w:t>No approved Q decision is TBD. Resolve these implementation details through a recorded configuration baseline. Proposed addresses or settings must not become final by implication. A change to an approved decision requires an explicit recorded design change.</w:t>
      </w:r>
    </w:p>
    <w:p>
      <w:pPr>
        <w:pStyle w:val="Heading1"/>
      </w:pPr>
      <w:r>
        <w:t>Review and approval</w:t>
      </w:r>
    </w:p>
    <w:tbl>
      <w:tblPr>
        <w:tblW w:type="auto" w:w="0"/>
        <w:tblLayout w:type="fixed"/>
        <w:tblLook w:firstColumn="1" w:firstRow="1" w:lastColumn="0" w:lastRow="0" w:noHBand="0" w:noVBand="1" w:val="04A0"/>
      </w:tblPr>
      <w:tblGrid>
        <w:gridCol w:w="4874"/>
        <w:gridCol w:w="4874"/>
      </w:tblGrid>
      <w:tr>
        <w:trPr>
          <w:tblHeader/>
          <w:cantSplit/>
        </w:trPr>
        <w:tc>
          <w:tcPr>
            <w:tcW w:type="dxa" w:w="2304"/>
            <w:vAlign w:val="center"/>
            <w:shd w:fill="E4EAF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spacing w:after="60"/>
            </w:pPr>
            <w:r>
              <w:rPr>
                <w:b/>
                <w:sz w:val="18"/>
              </w:rPr>
              <w:t>Review gate</w:t>
            </w:r>
          </w:p>
        </w:tc>
        <w:tc>
          <w:tcPr>
            <w:tcW w:type="dxa" w:w="7445"/>
            <w:vAlign w:val="center"/>
            <w:shd w:fill="E4EAF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spacing w:after="60"/>
            </w:pPr>
            <w:r>
              <w:rPr>
                <w:b/>
                <w:sz w:val="18"/>
              </w:rPr>
              <w:t>Record to complete</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Technical review</w:t>
            </w:r>
          </w:p>
        </w:tc>
        <w:tc>
          <w:tcPr>
            <w:tcW w:type="dxa" w:w="7445"/>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Reviewer, date, findings, dispositions and linked evidence: TBD</w:t>
            </w:r>
          </w:p>
        </w:tc>
      </w:tr>
      <w:tr>
        <w:trPr>
          <w:cantSplit/>
        </w:trPr>
        <w:tc>
          <w:tcPr>
            <w:tcW w:type="dxa" w:w="2304"/>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Dependency reconciliation</w:t>
            </w:r>
          </w:p>
        </w:tc>
        <w:tc>
          <w:tcPr>
            <w:tcW w:type="dxa" w:w="7445"/>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LLD-01/06 and other missing source versions; comparison findings: Pending source verification</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Acceptance review</w:t>
            </w:r>
          </w:p>
        </w:tc>
        <w:tc>
          <w:tcPr>
            <w:tcW w:type="dxa" w:w="7445"/>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Execution evidence is governed by LLD-07-005; not performed in this issue</w:t>
            </w:r>
          </w:p>
        </w:tc>
      </w:tr>
      <w:tr>
        <w:trPr>
          <w:cantSplit/>
        </w:trPr>
        <w:tc>
          <w:tcPr>
            <w:tcW w:type="dxa" w:w="2304"/>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Baseline approval</w:t>
            </w:r>
          </w:p>
        </w:tc>
        <w:tc>
          <w:tcPr>
            <w:tcW w:type="dxa" w:w="7445"/>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Approver, date, approved version and change reference: TBD</w:t>
            </w:r>
          </w:p>
        </w:tc>
      </w:tr>
    </w:tbl>
    <w:p>
      <w:pPr>
        <w:spacing w:after="80" w:before="0" w:line="20" w:lineRule="exact"/>
      </w:pPr>
      <w:r>
        <w:rPr>
          <w:sz w:val="2"/>
        </w:rPr>
        <w:t xml:space="preserve"> </w:t>
      </w:r>
    </w:p>
    <w:p>
      <w:pPr>
        <w:pStyle w:val="Heading1"/>
      </w:pPr>
      <w:r>
        <w:t>References</w:t>
      </w:r>
    </w:p>
    <w:p>
      <w:r>
        <w:t>Project Redstone — Northwind Outdoor Ltd. LLD-07 Authoritative Design Handover, supplied project owner attachment. Approved decision register DD01–DD15 and established architecture context.</w:t>
      </w:r>
    </w:p>
    <w:p>
      <w:r>
        <w:t>LLD-02-001 through LLD-02-005, local consolidated draft v0.2 dated 12 October 2026. Cross-document review supports design compatibility; it does not constitute deployment verification.</w:t>
      </w:r>
    </w:p>
    <w:p>
      <w:r>
        <w:t>All commands and configuration patterns in this paper, where present, are proposed implementation aids. Verify syntax, effective settings and compatibility on the installed RHEL 10 and OpenSSH packages before use.</w:t>
      </w:r>
    </w:p>
    <w:sectPr w:rsidR="00FC693F" w:rsidRPr="0006063C" w:rsidSect="00034616">
      <w:footerReference w:type="default" r:id="rId9"/>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LLD-07-003 | v0.1 | Draft for Technical Review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4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LLD-07-003 — SSH Authentication &amp; Remote Administration</dc:title>
  <dc:subject/>
  <dc:creator>Project Redstone</dc:creator>
  <cp:keywords/>
  <dc:description>generated by python-docx</dc:description>
  <cp:lastModifiedBy/>
  <cp:revision>1</cp:revision>
  <dcterms:created xsi:type="dcterms:W3CDTF">2013-12-23T23:15:00Z</dcterms:created>
  <dcterms:modified xsi:type="dcterms:W3CDTF">2013-12-23T23:15:00Z</dcterms:modified>
  <cp:category/>
  <cp:version>0.1</cp:version>
</cp:coreProperties>
</file>