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Privileged Access, Bootstrap &amp; Break-Glass</w:t>
      </w:r>
    </w:p>
    <w:p>
      <w:r>
        <w:t>LLD-07-004 | Project Redstone | Northwind Outdoor Ltd.</w:t>
      </w:r>
    </w:p>
    <w:p>
      <w:r>
        <w:t>v0.1 — Draft for Technical Review | 13 October 2026</w:t>
      </w:r>
    </w:p>
    <w:p>
      <w:r>
        <w:t>This paper specifies privilege assignment, initial console bootstrap, emergency console use and access revocation. Named accounts provide accountability, sudo controls elevation and protected root credentials remain available for emergency console recovery.</w:t>
      </w:r>
    </w:p>
    <w:p>
      <w:pPr>
        <w:pStyle w:val="Heading1"/>
      </w:pPr>
      <w:r>
        <w:t>Document control</w:t>
      </w:r>
    </w:p>
    <w:tbl>
      <w:tblPr>
        <w:tblW w:type="auto" w:w="0"/>
        <w:tblLayout w:type="fixed"/>
        <w:tblLook w:firstColumn="1" w:firstRow="1" w:lastColumn="0" w:lastRow="0" w:noHBand="0" w:noVBand="1" w:val="04A0"/>
      </w:tblPr>
      <w:tblGrid>
        <w:gridCol w:w="4874"/>
        <w:gridCol w:w="4874"/>
      </w:tblGrid>
      <w:tr>
        <w:trPr>
          <w:tblHeader/>
          <w:cantSplit/>
        </w:trPr>
        <w:tc>
          <w:tcPr>
            <w:tcW w:type="dxa" w:w="1872"/>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Field</w:t>
            </w:r>
          </w:p>
        </w:tc>
        <w:tc>
          <w:tcPr>
            <w:tcW w:type="dxa" w:w="7877"/>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Value</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Status</w:t>
            </w:r>
          </w:p>
        </w:tc>
        <w:tc>
          <w:tcPr>
            <w:tcW w:type="dxa" w:w="787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v0.1 — Draft for Technical Review; working paper not reviewed or baselined</w:t>
            </w:r>
          </w:p>
        </w:tc>
      </w:tr>
      <w:tr>
        <w:trPr>
          <w:cantSplit/>
        </w:trPr>
        <w:tc>
          <w:tcPr>
            <w:tcW w:type="dxa" w:w="187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Design authority</w:t>
            </w:r>
          </w:p>
        </w:tc>
        <w:tc>
          <w:tcPr>
            <w:tcW w:type="dxa" w:w="787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Authoritative Design Handover; Q01–Q15 map directly to LLD-07-DD01–DD15</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Owner</w:t>
            </w:r>
          </w:p>
        </w:tc>
        <w:tc>
          <w:tcPr>
            <w:tcW w:type="dxa" w:w="787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Project owner; named document custodian TBD</w:t>
            </w:r>
          </w:p>
        </w:tc>
      </w:tr>
      <w:tr>
        <w:trPr>
          <w:cantSplit/>
        </w:trPr>
        <w:tc>
          <w:tcPr>
            <w:tcW w:type="dxa" w:w="187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Reviewers</w:t>
            </w:r>
          </w:p>
        </w:tc>
        <w:tc>
          <w:tcPr>
            <w:tcW w:type="dxa" w:w="787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Proposed: Linux design reviewer, infrastructure owner and security reviewer</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Revision</w:t>
            </w:r>
          </w:p>
        </w:tc>
        <w:tc>
          <w:tcPr>
            <w:tcW w:type="dxa" w:w="787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0.1 | 13 October 2026 | Initial coordinated five-paper issue</w:t>
            </w:r>
          </w:p>
        </w:tc>
      </w:tr>
      <w:tr>
        <w:trPr>
          <w:cantSplit/>
        </w:trPr>
        <w:tc>
          <w:tcPr>
            <w:tcW w:type="dxa" w:w="187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Approval</w:t>
            </w:r>
          </w:p>
        </w:tc>
        <w:tc>
          <w:tcPr>
            <w:tcW w:type="dxa" w:w="787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Approver, date, reference and baseline identifier: TBD</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Evidence status</w:t>
            </w:r>
          </w:p>
        </w:tc>
        <w:tc>
          <w:tcPr>
            <w:tcW w:type="dxa" w:w="787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Design only. No implementation outcome or test result is asserted.</w:t>
            </w:r>
          </w:p>
        </w:tc>
      </w:tr>
    </w:tbl>
    <w:p>
      <w:pPr>
        <w:spacing w:after="80" w:before="0" w:line="20" w:lineRule="exact"/>
      </w:pPr>
      <w:r>
        <w:rPr>
          <w:sz w:val="2"/>
        </w:rPr>
        <w:t xml:space="preserve"> </w:t>
      </w:r>
    </w:p>
    <w:p>
      <w:r>
        <w:t>Approved identifies the explicitly agreed decisions. Proposed identifies an implementation recommendation requiring confirmation. TBD identifies an unresolved technical value. Pending source verification identifies references awaiting comparison with unavailable design sources. Draft document status does not reopen approved decisions.</w:t>
      </w:r>
    </w:p>
    <w:p>
      <w:pPr>
        <w:pStyle w:val="Heading1"/>
      </w:pPr>
      <w:r>
        <w:t>Purpose scope and boundaries</w:t>
      </w:r>
    </w:p>
    <w:p>
      <w:r>
        <w:t>Owns Q10–Q13: sudo roles, console bootstrap, break-glass and offboarding. SSH authentication policy remains 003, while test execution and recovery scenarios remain 005. Hypervisor failure recovery is an infrastructure dependency, not solved by a VM console procedure.</w:t>
      </w:r>
    </w:p>
    <w:p>
      <w:pPr>
        <w:pStyle w:val="Heading1"/>
      </w:pPr>
      <w:r>
        <w:t>Approved design decisions</w:t>
      </w:r>
    </w:p>
    <w:p>
      <w:pPr>
        <w:pStyle w:val="Heading2"/>
      </w:pPr>
      <w:r>
        <w:t>Q10 / LLD-07-DD10 Administrative Privilege Model</w:t>
      </w:r>
    </w:p>
    <w:p>
      <w:r>
        <w:t>Option B — Role-Based sudo.</w:t>
      </w:r>
    </w:p>
    <w:p>
      <w:r>
        <w:t>Full sudo privileges shall be reserved for designated Linux Systems Administrators on explicitly authorised servers.</w:t>
      </w:r>
    </w:p>
    <w:p>
      <w:r>
        <w:t>Other roles shall receive limited privileges where justified.</w:t>
      </w:r>
    </w:p>
    <w:p>
      <w:r>
        <w:t>Administrative operations shall use named accounts, with sudo activity logged.</w:t>
      </w:r>
    </w:p>
    <w:p>
      <w:r>
        <w:t>Routine direct root administration is prohibited.</w:t>
      </w:r>
    </w:p>
    <w:p>
      <w:pPr>
        <w:pStyle w:val="Heading2"/>
      </w:pPr>
      <w:r>
        <w:t>Q11 / LLD-07-DD11 Initial Administrative Access and Bootstrap</w:t>
      </w:r>
    </w:p>
    <w:p>
      <w:r>
        <w:t>Option A — Proxmox Console Bootstrap.</w:t>
      </w:r>
    </w:p>
    <w:p>
      <w:r>
        <w:t>Initial RHEL installation and administrative configuration shall be performed through the Proxmox VM console.</w:t>
      </w:r>
    </w:p>
    <w:p>
      <w:r>
        <w:t>The bootstrap process shall establish protected root recovery credentials, named administrative accounts, sudo permissions, SSH public keys, networking and security configuration.</w:t>
      </w:r>
    </w:p>
    <w:p>
      <w:r>
        <w:t>Normal SSH access shall be validated before transitioning from console-based bootstrap to routine remote administration.</w:t>
      </w:r>
    </w:p>
    <w:p>
      <w:r>
        <w:t>Temporary direct SSH exceptions are not the default bootstrap method.</w:t>
      </w:r>
    </w:p>
    <w:p>
      <w:pPr>
        <w:pStyle w:val="Heading2"/>
      </w:pPr>
      <w:r>
        <w:t>Q12 / LLD-07-DD12 Emergency Administrative Access</w:t>
      </w:r>
    </w:p>
    <w:p>
      <w:r>
        <w:t>Option A — Proxmox Console Break-Glass Recovery.</w:t>
      </w:r>
    </w:p>
    <w:p>
      <w:r>
        <w:t>Emergency access shall use the independently accessible Proxmox console and protected local root credentials.</w:t>
      </w:r>
    </w:p>
    <w:p>
      <w:r>
        <w:t>Root SSH remains prohibited.</w:t>
      </w:r>
    </w:p>
    <w:p>
      <w:r>
        <w:t>Emergency activities shall be documented, and normal administrative access and security controls shall be restored and validated afterward.</w:t>
      </w:r>
    </w:p>
    <w:p>
      <w:r>
        <w:t>HYP01-level failure recovery remains a separate infrastructure dependency.</w:t>
      </w:r>
    </w:p>
    <w:p>
      <w:pPr>
        <w:pStyle w:val="Heading2"/>
      </w:pPr>
      <w:r>
        <w:t>Q13 / LLD-07-DD13 Administrative Access Revocation and Offboarding</w:t>
      </w:r>
    </w:p>
    <w:p>
      <w:r>
        <w:t>Option B — Controlled Administrative Access Revocation.</w:t>
      </w:r>
    </w:p>
    <w:p>
      <w:r>
        <w:t>Northwind shall maintain an Administrative Access Register.</w:t>
      </w:r>
    </w:p>
    <w:p>
      <w:r>
        <w:t>A documented revocation procedure shall cover local accounts, SSH public keys, sudo permissions, active sessions, HYP01 access and emergency credentials known to departing administrators.</w:t>
      </w:r>
    </w:p>
    <w:p>
      <w:r>
        <w:t>Accounts should normally be disabled before deletion to preserve accountability and evidence.</w:t>
      </w:r>
    </w:p>
    <w:p>
      <w:r>
        <w:t>Revocation shall be verified across all affected systems.</w:t>
      </w:r>
    </w:p>
    <w:p>
      <w:pPr>
        <w:pStyle w:val="Heading1"/>
      </w:pPr>
      <w:r>
        <w:t>Privilege and role specification</w:t>
      </w:r>
    </w:p>
    <w:tbl>
      <w:tblPr>
        <w:tblW w:type="auto" w:w="0"/>
        <w:tblLayout w:type="fixed"/>
        <w:tblLook w:firstColumn="1" w:firstRow="1" w:lastColumn="0" w:lastRow="0" w:noHBand="0" w:noVBand="1" w:val="04A0"/>
      </w:tblPr>
      <w:tblGrid>
        <w:gridCol w:w="3250"/>
        <w:gridCol w:w="3250"/>
        <w:gridCol w:w="3250"/>
      </w:tblGrid>
      <w:tr>
        <w:trPr>
          <w:tblHeader/>
          <w:cantSplit/>
        </w:trPr>
        <w:tc>
          <w:tcPr>
            <w:tcW w:type="dxa" w:w="2376"/>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Role or access type</w:t>
            </w:r>
          </w:p>
        </w:tc>
        <w:tc>
          <w:tcPr>
            <w:tcW w:type="dxa" w:w="4493"/>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Approved privilege boundary</w:t>
            </w:r>
          </w:p>
        </w:tc>
        <w:tc>
          <w:tcPr>
            <w:tcW w:type="dxa" w:w="2880"/>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Required record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Designated Linux Systems Administrator</w:t>
            </w:r>
          </w:p>
        </w:tc>
        <w:tc>
          <w:tcPr>
            <w:tcW w:type="dxa" w:w="449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Full sudo only on explicitly authorised servers</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Named person, host scope and approval</w:t>
            </w:r>
          </w:p>
        </w:tc>
      </w:tr>
      <w:tr>
        <w:trPr>
          <w:cantSplit/>
        </w:trPr>
        <w:tc>
          <w:tcPr>
            <w:tcW w:type="dxa" w:w="237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Other justified role</w:t>
            </w:r>
          </w:p>
        </w:tc>
        <w:tc>
          <w:tcPr>
            <w:tcW w:type="dxa" w:w="4493"/>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Limited privileges justified by operational need</w:t>
            </w:r>
          </w:p>
        </w:tc>
        <w:tc>
          <w:tcPr>
            <w:tcW w:type="dxa" w:w="288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Exact allowed action, execution identity and validation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Routine administrator</w:t>
            </w:r>
          </w:p>
        </w:tc>
        <w:tc>
          <w:tcPr>
            <w:tcW w:type="dxa" w:w="449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Named account; no routine direct root administration</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Authentication, account and sudo evidence</w:t>
            </w:r>
          </w:p>
        </w:tc>
      </w:tr>
      <w:tr>
        <w:trPr>
          <w:cantSplit/>
        </w:trPr>
        <w:tc>
          <w:tcPr>
            <w:tcW w:type="dxa" w:w="237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Emergency console recovery</w:t>
            </w:r>
          </w:p>
        </w:tc>
        <w:tc>
          <w:tcPr>
            <w:tcW w:type="dxa" w:w="4493"/>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Protected local root credential; root SSH remains prohibited</w:t>
            </w:r>
          </w:p>
        </w:tc>
        <w:tc>
          <w:tcPr>
            <w:tcW w:type="dxa" w:w="288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Authorised emergency event, custodian and incident record</w:t>
            </w:r>
          </w:p>
        </w:tc>
      </w:tr>
    </w:tbl>
    <w:p>
      <w:pPr>
        <w:spacing w:after="80" w:before="0" w:line="20" w:lineRule="exact"/>
      </w:pPr>
      <w:r>
        <w:rPr>
          <w:sz w:val="2"/>
        </w:rPr>
        <w:t xml:space="preserve"> </w:t>
      </w:r>
    </w:p>
    <w:p>
      <w:r>
        <w:t>Proposed implementation uses reviewed files under /etc/sudoers.d and validates syntax with visudo before installation. The wheel group is a possible full-administrator mechanism, not a requirement for every account. Avoid broad group membership that unintentionally grants full sudo on hosts outside the register. Whether sudo prompts for a protected local password is an implementation detail requiring confirmation; key-only SSH does not disable console passwords or imply passwordless sudo.</w:t>
      </w:r>
    </w:p>
    <w:p>
      <w:r>
        <w:t>For limited roles, review command arguments, shell escapes, writable scripts, editors, environment handling and execution identity. An apparently narrow command may allow arbitrary root execution. Prefer clearly bounded operational actions and test prohibited variants. Record exact policy text only after role scope is confirmed; no unrestricted NOPASSWD policy is approved by this paper.</w:t>
      </w:r>
    </w:p>
    <w:p>
      <w:pPr>
        <w:pStyle w:val="Heading1"/>
      </w:pPr>
      <w:r>
        <w:t>Console bootstrap sequence</w:t>
      </w:r>
    </w:p>
    <w:p>
      <w:r>
        <w:t>1. Authenticate to independently reachable HYP01 management and open the intended VM console. Verify VM identity and installation context.</w:t>
      </w:r>
    </w:p>
    <w:p>
      <w:r>
        <w:t>2. Install the RHEL 10 Minimal baseline under LLD-02. Establish protected root recovery credentials through secure custody; never record the value in this document.</w:t>
      </w:r>
    </w:p>
    <w:p>
      <w:r>
        <w:t>3. Create approved named accounts and host-specific sudo policy. Validate elevation from the named account and preserve local recovery access.</w:t>
      </w:r>
    </w:p>
    <w:p>
      <w:r>
        <w:t>4. Configure persistent networking, SELinux enforcing, firewalld, chronyd and persistent journals. Confirm actual VLAN and interface settings through 002 and LLD-06.</w:t>
      </w:r>
    </w:p>
    <w:p>
      <w:r>
        <w:t>5. Install personal public keys and trusted host-key evidence under 003. Apply role-specific SSH settings using the lockout-safe sequence.</w:t>
      </w:r>
    </w:p>
    <w:p>
      <w:r>
        <w:t>6. Validate the normal routed and ProxyJump access path in a fresh session. Complete applicable commissioning tests under 005 before declaring routine remote administration available.</w:t>
      </w:r>
    </w:p>
    <w:p>
      <w:r>
        <w:t>Temporary direct SSH exceptions are not the default bootstrap method. LLD-02 references to a temporary management path are reconciled here as console bootstrap and documented temporary DNS/time/connectivity prerequisites. Any exceptional direct SSH path requires a specific recorded change, constrained scope, expiry and removal evidence; it must not be introduced silently.</w:t>
      </w:r>
    </w:p>
    <w:p>
      <w:pPr>
        <w:pStyle w:val="Heading1"/>
      </w:pPr>
      <w:r>
        <w:t>Break-glass access and restoration</w:t>
      </w:r>
    </w:p>
    <w:p>
      <w:r>
        <w:t>Trigger console recovery when the approved path fails through JUMP01, SSH, FW01 or guest networking and ordinary troubleshooting cannot restore access safely. Establish an incident/change record and verify HYP01 independent reachability. Open the affected VM console, authenticate using protected local recovery credentials and diagnose the failed layer. Root SSH remains prohibited throughout.</w:t>
      </w:r>
    </w:p>
    <w:tbl>
      <w:tblPr>
        <w:tblW w:type="auto" w:w="0"/>
        <w:tblLayout w:type="fixed"/>
        <w:tblLook w:firstColumn="1" w:firstRow="1" w:lastColumn="0" w:lastRow="0" w:noHBand="0" w:noVBand="1" w:val="04A0"/>
      </w:tblPr>
      <w:tblGrid>
        <w:gridCol w:w="4874"/>
        <w:gridCol w:w="4874"/>
      </w:tblGrid>
      <w:tr>
        <w:trPr>
          <w:tblHeader/>
          <w:cantSplit/>
        </w:trPr>
        <w:tc>
          <w:tcPr>
            <w:tcW w:type="dxa" w:w="2088"/>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Stage</w:t>
            </w:r>
          </w:p>
        </w:tc>
        <w:tc>
          <w:tcPr>
            <w:tcW w:type="dxa" w:w="7661"/>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Required action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Authorise and record</w:t>
            </w:r>
          </w:p>
        </w:tc>
        <w:tc>
          <w:tcPr>
            <w:tcW w:type="dxa" w:w="7661"/>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Record incident, reason, operator, target and start time; emergency authority process TBD</w:t>
            </w:r>
          </w:p>
        </w:tc>
      </w:tr>
      <w:tr>
        <w:trPr>
          <w:cantSplit/>
        </w:trPr>
        <w:tc>
          <w:tcPr>
            <w:tcW w:type="dxa" w:w="208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Recover access</w:t>
            </w:r>
          </w:p>
        </w:tc>
        <w:tc>
          <w:tcPr>
            <w:tcW w:type="dxa" w:w="7661"/>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Use independent Proxmox console and protected local root credentials; verify affected VM</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Diagnose and repair</w:t>
            </w:r>
          </w:p>
        </w:tc>
        <w:tc>
          <w:tcPr>
            <w:tcW w:type="dxa" w:w="7661"/>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Review logs, networking, SSH syntax, accounts and policy; restore known approved settings where appropriate</w:t>
            </w:r>
          </w:p>
        </w:tc>
      </w:tr>
      <w:tr>
        <w:trPr>
          <w:cantSplit/>
        </w:trPr>
        <w:tc>
          <w:tcPr>
            <w:tcW w:type="dxa" w:w="208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Restore normal controls</w:t>
            </w:r>
          </w:p>
        </w:tc>
        <w:tc>
          <w:tcPr>
            <w:tcW w:type="dxa" w:w="7661"/>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Reinstate any temporary changes; test named key login, ProxyJump, sudo and prohibited paths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Close and review</w:t>
            </w:r>
          </w:p>
        </w:tc>
        <w:tc>
          <w:tcPr>
            <w:tcW w:type="dxa" w:w="7661"/>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Record actions, evidence, remaining defects, credential exposure assessment and lessons learned</w:t>
            </w:r>
          </w:p>
        </w:tc>
      </w:tr>
    </w:tbl>
    <w:p>
      <w:pPr>
        <w:spacing w:after="80" w:before="0" w:line="20" w:lineRule="exact"/>
      </w:pPr>
      <w:r>
        <w:rPr>
          <w:sz w:val="2"/>
        </w:rPr>
        <w:t xml:space="preserve"> </w:t>
      </w:r>
    </w:p>
    <w:p>
      <w:r>
        <w:t>A VM console does not solve an unavailable HYP01, inaccessible hypervisor management or lost hypervisor credentials. Those failures require LLD-01 infrastructure recovery with LLD-09 preservation and restoration dependencies. Management independence must be tested without relying on guest DNS or time services that are themselves unavailable. Do not claim console resilience until exercised.</w:t>
      </w:r>
    </w:p>
    <w:p>
      <w:pPr>
        <w:pStyle w:val="Heading1"/>
      </w:pPr>
      <w:r>
        <w:t>Controlled revocation and offboarding</w:t>
      </w:r>
    </w:p>
    <w:p>
      <w:r>
        <w:t>1. Identify all host accounts, key fingerprints, sudo entitlements, active sessions, HYP01 access and emergency credentials known to the person using the Administrative Access Register.</w:t>
      </w:r>
    </w:p>
    <w:p>
      <w:r>
        <w:t>2. Normally disable access before deleting accounts to preserve attribution. Remove or invalidate authorised public keys and login authorisation, and remove sudo permissions. Password locking alone may not prevent key-based SSH; verify the effective account controls.</w:t>
      </w:r>
    </w:p>
    <w:p>
      <w:r>
        <w:t>3. Inspect and terminate affected SSH sessions, multiplexed connections and other active sessions/processes as authorised by the revocation event. Removing keys does not close existing authenticated sessions.</w:t>
      </w:r>
    </w:p>
    <w:p>
      <w:r>
        <w:t>4. Revoke HYP01 access and rotate emergency credentials known to the departing administrator using secure custody. Update authorised key lists and any device approval that no longer applies.</w:t>
      </w:r>
    </w:p>
    <w:p>
      <w:r>
        <w:t>5. Verify rejection on every affected system and privileged path, including forwarding and console access where applicable. Record residual service/process ownership before any later deletion.</w:t>
      </w:r>
    </w:p>
    <w:p>
      <w:r>
        <w:t>6. Update the register with completion, exceptions and evidence. Retention and deletion timing remain TBD; preserve audit records according to the agreed policy.</w:t>
      </w:r>
    </w:p>
    <w:p>
      <w:pPr>
        <w:pStyle w:val="Heading1"/>
      </w:pPr>
      <w:r>
        <w:t>Security and operational considerations</w:t>
      </w:r>
    </w:p>
    <w:p>
      <w:r>
        <w:t>Proposed credential handling uses restricted custody and controlled retrieval, with access and rotation references in the register. Storage mechanism, backup custody, emergency approval process and review interval are TBD. Protect sudo and console evidence because it may disclose sensitive operational context. Preserve persistent journal logging and usable timestamps; log sudo actions from named identities without asserting that every privileged shell command is fully captured by default.</w:t>
      </w:r>
    </w:p>
    <w:p>
      <w:pPr>
        <w:pStyle w:val="Heading1"/>
      </w:pPr>
      <w:r>
        <w:t>Acceptance requirements</w:t>
      </w:r>
    </w:p>
    <w:tbl>
      <w:tblPr>
        <w:tblW w:type="auto" w:w="0"/>
        <w:tblLayout w:type="fixed"/>
        <w:tblLook w:firstColumn="1" w:firstRow="1" w:lastColumn="0" w:lastRow="0" w:noHBand="0" w:noVBand="1" w:val="04A0"/>
      </w:tblPr>
      <w:tblGrid>
        <w:gridCol w:w="4874"/>
        <w:gridCol w:w="4874"/>
      </w:tblGrid>
      <w:tr>
        <w:trPr>
          <w:tblHeader/>
          <w:cantSplit/>
        </w:trPr>
        <w:tc>
          <w:tcPr>
            <w:tcW w:type="dxa" w:w="2592"/>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Test</w:t>
            </w:r>
          </w:p>
        </w:tc>
        <w:tc>
          <w:tcPr>
            <w:tcW w:type="dxa" w:w="7157"/>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Expected result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T15 Host-specific sudo</w:t>
            </w:r>
          </w:p>
        </w:tc>
        <w:tc>
          <w:tcPr>
            <w:tcW w:type="dxa" w:w="715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Designated role elevates only on authorised hosts; limited role cannot exceed allowed actions</w:t>
            </w:r>
          </w:p>
        </w:tc>
      </w:tr>
      <w:tr>
        <w:trPr>
          <w:cantSplit/>
        </w:trPr>
        <w:tc>
          <w:tcPr>
            <w:tcW w:type="dxa" w:w="259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T16 Console bootstrap</w:t>
            </w:r>
          </w:p>
        </w:tc>
        <w:tc>
          <w:tcPr>
            <w:tcW w:type="dxa" w:w="715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New host reaches verified normal access without an unapproved temporary direct SSH exception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T17 Break-glass</w:t>
            </w:r>
          </w:p>
        </w:tc>
        <w:tc>
          <w:tcPr>
            <w:tcW w:type="dxa" w:w="715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Console restores failed guest access; root SSH stays rejected and normal controls are revalidated</w:t>
            </w:r>
          </w:p>
        </w:tc>
      </w:tr>
      <w:tr>
        <w:trPr>
          <w:cantSplit/>
        </w:trPr>
        <w:tc>
          <w:tcPr>
            <w:tcW w:type="dxa" w:w="259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T18 Offboarding</w:t>
            </w:r>
          </w:p>
        </w:tc>
        <w:tc>
          <w:tcPr>
            <w:tcW w:type="dxa" w:w="715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New key login and sudo rejected; existing sessions terminated as required; HYP01 access and known emergency credentials addressed</w:t>
            </w:r>
          </w:p>
        </w:tc>
      </w:tr>
    </w:tbl>
    <w:p>
      <w:pPr>
        <w:spacing w:after="80" w:before="0" w:line="20" w:lineRule="exact"/>
      </w:pPr>
      <w:r>
        <w:rPr>
          <w:sz w:val="2"/>
        </w:rPr>
        <w:t xml:space="preserve"> </w:t>
      </w:r>
    </w:p>
    <w:p>
      <w:pPr>
        <w:pStyle w:val="Heading1"/>
      </w:pPr>
      <w:r>
        <w:t>Dependencies and source reconciliation</w:t>
      </w:r>
    </w:p>
    <w:tbl>
      <w:tblPr>
        <w:tblW w:type="auto" w:w="0"/>
        <w:tblLayout w:type="fixed"/>
        <w:tblLook w:firstColumn="1" w:firstRow="1" w:lastColumn="0" w:lastRow="0" w:noHBand="0" w:noVBand="1" w:val="04A0"/>
      </w:tblPr>
      <w:tblGrid>
        <w:gridCol w:w="4874"/>
        <w:gridCol w:w="4874"/>
      </w:tblGrid>
      <w:tr>
        <w:trPr>
          <w:tblHeader/>
          <w:cantSplit/>
        </w:trPr>
        <w:tc>
          <w:tcPr>
            <w:tcW w:type="dxa" w:w="1440"/>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Design</w:t>
            </w:r>
          </w:p>
        </w:tc>
        <w:tc>
          <w:tcPr>
            <w:tcW w:type="dxa" w:w="8309"/>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Dependency and verification status</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LLD-01</w:t>
            </w:r>
          </w:p>
        </w:tc>
        <w:tc>
          <w:tcPr>
            <w:tcW w:type="dxa" w:w="830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HYP01 independent management, VM interface attachment and recovery. Pending source verification.</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LLD-02</w:t>
            </w:r>
          </w:p>
        </w:tc>
        <w:tc>
          <w:tcPr>
            <w:tcW w:type="dxa" w:w="8309"/>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Five local v0.2 papers reviewed for RHEL baseline compatibility. Detailed reconciliation notes in the set report.</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LLD-06</w:t>
            </w:r>
          </w:p>
        </w:tc>
        <w:tc>
          <w:tcPr>
            <w:tcW w:type="dxa" w:w="830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VLANs, explicit routes, FW01 stateful controls and approved path exceptions. Pending source verification.</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LLD-09</w:t>
            </w:r>
          </w:p>
        </w:tc>
        <w:tc>
          <w:tcPr>
            <w:tcW w:type="dxa" w:w="8309"/>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Preservation, restore sources and rebuild dependencies. Source unavailable; Pending source verification.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LLD-12</w:t>
            </w:r>
          </w:p>
        </w:tc>
        <w:tc>
          <w:tcPr>
            <w:tcW w:type="dxa" w:w="830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Detailed hardening, cryptographic policy and exception handling. Source unavailable; Pending source verification.</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LLD-07 siblings</w:t>
            </w:r>
          </w:p>
        </w:tc>
        <w:tc>
          <w:tcPr>
            <w:tcW w:type="dxa" w:w="8309"/>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001 trust; 002 paths; 003 SSH; 004 privilege and console lifecycle; 005 acceptance and recovery. Each control has one owning paper.</w:t>
            </w:r>
          </w:p>
        </w:tc>
      </w:tr>
    </w:tbl>
    <w:p>
      <w:pPr>
        <w:spacing w:after="80" w:before="0" w:line="20" w:lineRule="exact"/>
      </w:pPr>
      <w:r>
        <w:rPr>
          <w:sz w:val="2"/>
        </w:rPr>
        <w:t xml:space="preserve"> </w:t>
      </w:r>
    </w:p>
    <w:p>
      <w:pPr>
        <w:pStyle w:val="Heading1"/>
      </w:pPr>
      <w:r>
        <w:t>Outstanding implementation details</w:t>
      </w:r>
    </w:p>
    <w:tbl>
      <w:tblPr>
        <w:tblW w:type="auto" w:w="0"/>
        <w:tblLayout w:type="fixed"/>
        <w:tblLook w:firstColumn="1" w:firstRow="1" w:lastColumn="0" w:lastRow="0" w:noHBand="0" w:noVBand="1" w:val="04A0"/>
      </w:tblPr>
      <w:tblGrid>
        <w:gridCol w:w="3250"/>
        <w:gridCol w:w="3250"/>
        <w:gridCol w:w="3250"/>
      </w:tblGrid>
      <w:tr>
        <w:trPr>
          <w:tblHeader/>
          <w:cantSplit/>
        </w:trPr>
        <w:tc>
          <w:tcPr>
            <w:tcW w:type="dxa" w:w="2376"/>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Item</w:t>
            </w:r>
          </w:p>
        </w:tc>
        <w:tc>
          <w:tcPr>
            <w:tcW w:type="dxa" w:w="936"/>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Status</w:t>
            </w:r>
          </w:p>
        </w:tc>
        <w:tc>
          <w:tcPr>
            <w:tcW w:type="dxa" w:w="6437"/>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Required resolution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Role policy</w:t>
            </w:r>
          </w:p>
        </w:tc>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TBD</w:t>
            </w:r>
          </w:p>
        </w:tc>
        <w:tc>
          <w:tcPr>
            <w:tcW w:type="dxa" w:w="64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Assign people, authorised hosts, exact limited actions and sudo authentication behaviour.</w:t>
            </w:r>
          </w:p>
        </w:tc>
      </w:tr>
      <w:tr>
        <w:trPr>
          <w:cantSplit/>
        </w:trPr>
        <w:tc>
          <w:tcPr>
            <w:tcW w:type="dxa" w:w="237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Credential custody</w:t>
            </w:r>
          </w:p>
        </w:tc>
        <w:tc>
          <w:tcPr>
            <w:tcW w:type="dxa" w:w="93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TBD</w:t>
            </w:r>
          </w:p>
        </w:tc>
        <w:tc>
          <w:tcPr>
            <w:tcW w:type="dxa" w:w="643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Select protected storage/retrieval and recovery credential rotation process.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Emergency authority</w:t>
            </w:r>
          </w:p>
        </w:tc>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TBD</w:t>
            </w:r>
          </w:p>
        </w:tc>
        <w:tc>
          <w:tcPr>
            <w:tcW w:type="dxa" w:w="64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Define incident owner, emergency authorisation, record retention and review.</w:t>
            </w:r>
          </w:p>
        </w:tc>
      </w:tr>
      <w:tr>
        <w:trPr>
          <w:cantSplit/>
        </w:trPr>
        <w:tc>
          <w:tcPr>
            <w:tcW w:type="dxa" w:w="237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Offboarding timing</w:t>
            </w:r>
          </w:p>
        </w:tc>
        <w:tc>
          <w:tcPr>
            <w:tcW w:type="dxa" w:w="93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TBD</w:t>
            </w:r>
          </w:p>
        </w:tc>
        <w:tc>
          <w:tcPr>
            <w:tcW w:type="dxa" w:w="643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Define completion targets, account retention and deletion gates.</w:t>
            </w:r>
          </w:p>
        </w:tc>
      </w:tr>
    </w:tbl>
    <w:p>
      <w:pPr>
        <w:spacing w:after="80" w:before="0" w:line="20" w:lineRule="exact"/>
      </w:pPr>
      <w:r>
        <w:rPr>
          <w:sz w:val="2"/>
        </w:rPr>
        <w:t xml:space="preserve"> </w:t>
      </w:r>
    </w:p>
    <w:p>
      <w:r>
        <w:t>No approved Q decision is TBD. Resolve these implementation details through a recorded configuration baseline. Proposed addresses or settings must not become final by implication. A change to an approved decision requires an explicit recorded design change.</w:t>
      </w:r>
    </w:p>
    <w:p>
      <w:pPr>
        <w:pStyle w:val="Heading1"/>
      </w:pPr>
      <w:r>
        <w:t>Review and approval</w:t>
      </w:r>
    </w:p>
    <w:tbl>
      <w:tblPr>
        <w:tblW w:type="auto" w:w="0"/>
        <w:tblLayout w:type="fixed"/>
        <w:tblLook w:firstColumn="1" w:firstRow="1" w:lastColumn="0" w:lastRow="0" w:noHBand="0" w:noVBand="1" w:val="04A0"/>
      </w:tblPr>
      <w:tblGrid>
        <w:gridCol w:w="4874"/>
        <w:gridCol w:w="4874"/>
      </w:tblGrid>
      <w:tr>
        <w:trPr>
          <w:tblHeader/>
          <w:cantSplit/>
        </w:trPr>
        <w:tc>
          <w:tcPr>
            <w:tcW w:type="dxa" w:w="2304"/>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Review gate</w:t>
            </w:r>
          </w:p>
        </w:tc>
        <w:tc>
          <w:tcPr>
            <w:tcW w:type="dxa" w:w="7445"/>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Record to complete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Technical review</w:t>
            </w:r>
          </w:p>
        </w:tc>
        <w:tc>
          <w:tcPr>
            <w:tcW w:type="dxa" w:w="74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Reviewer, date, findings, dispositions and linked evidence: TBD</w:t>
            </w:r>
          </w:p>
        </w:tc>
      </w:tr>
      <w:tr>
        <w:trPr>
          <w:cantSplit/>
        </w:trPr>
        <w:tc>
          <w:tcPr>
            <w:tcW w:type="dxa" w:w="230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Dependency reconciliation</w:t>
            </w:r>
          </w:p>
        </w:tc>
        <w:tc>
          <w:tcPr>
            <w:tcW w:type="dxa" w:w="7445"/>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LLD-01/06 and other missing source versions; comparison findings: Pending source verification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Acceptance review</w:t>
            </w:r>
          </w:p>
        </w:tc>
        <w:tc>
          <w:tcPr>
            <w:tcW w:type="dxa" w:w="74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Execution evidence is governed by LLD-07-005; not performed in this issue</w:t>
            </w:r>
          </w:p>
        </w:tc>
      </w:tr>
      <w:tr>
        <w:trPr>
          <w:cantSplit/>
        </w:trPr>
        <w:tc>
          <w:tcPr>
            <w:tcW w:type="dxa" w:w="230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Baseline approval</w:t>
            </w:r>
          </w:p>
        </w:tc>
        <w:tc>
          <w:tcPr>
            <w:tcW w:type="dxa" w:w="7445"/>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Approver, date, approved version and change reference: TBD</w:t>
            </w:r>
          </w:p>
        </w:tc>
      </w:tr>
    </w:tbl>
    <w:p>
      <w:pPr>
        <w:spacing w:after="80" w:before="0" w:line="20" w:lineRule="exact"/>
      </w:pPr>
      <w:r>
        <w:rPr>
          <w:sz w:val="2"/>
        </w:rPr>
        <w:t xml:space="preserve"> </w:t>
      </w:r>
    </w:p>
    <w:p>
      <w:pPr>
        <w:pStyle w:val="Heading1"/>
      </w:pPr>
      <w:r>
        <w:t>References</w:t>
      </w:r>
    </w:p>
    <w:p>
      <w:r>
        <w:t>Project Redstone — Northwind Outdoor Ltd. LLD-07 Authoritative Design Handover, supplied project owner attachment. Approved decision register DD01–DD15 and established architecture context.</w:t>
      </w:r>
    </w:p>
    <w:p>
      <w:r>
        <w:t>LLD-02-001 through LLD-02-005, local consolidated draft v0.2 dated 12 October 2026. Cross-document review supports design compatibility; it does not constitute deployment verification.</w:t>
      </w:r>
    </w:p>
    <w:p>
      <w:r>
        <w:t>All commands and configuration patterns in this paper, where present, are proposed implementation aids. Verify syntax, effective settings and compatibility on the installed RHEL 10 and OpenSSH packages before use.</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LLD-07-004 | v0.1 | Draft for Technical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LLD-07-004 — Privileged Access, Bootstrap &amp; Break-Glass</dc:title>
  <dc:subject/>
  <dc:creator>Project Redstone</dc:creator>
  <cp:keywords/>
  <dc:description>generated by python-docx</dc:description>
  <cp:lastModifiedBy/>
  <cp:revision>1</cp:revision>
  <dcterms:created xsi:type="dcterms:W3CDTF">2013-12-23T23:15:00Z</dcterms:created>
  <dcterms:modified xsi:type="dcterms:W3CDTF">2013-12-23T23:15:00Z</dcterms:modified>
  <cp:category/>
  <cp:version>0.1</cp:version>
</cp:coreProperties>
</file>