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Server Commissioning &amp; Build Documentation</w:t>
      </w:r>
    </w:p>
    <w:p>
      <w:r>
        <w:t>LLD-02-005 | Project Redstone | Northwind Outdoor Ltd.</w:t>
      </w:r>
    </w:p>
    <w:p>
      <w:r>
        <w:t>v0.2 Consolidated Draft | 12 October 2026</w:t>
      </w:r>
    </w:p>
    <w:p>
      <w:r>
        <w:t>This paper defines the records and handover required to commission a RHEL server. It links the common standard, actual configuration and acceptance evidence so FW01 and JUMP01 can be operated and rebuilt without relying on undocumented installer knowledge.</w:t>
      </w:r>
    </w:p>
    <w:p>
      <w:pPr>
        <w:pStyle w:val="Heading1"/>
      </w:pPr>
      <w:r>
        <w:t>Document control</w:t>
      </w:r>
    </w:p>
    <w:tbl>
      <w:tblPr>
        <w:tblW w:type="auto" w:w="0"/>
        <w:jc w:val="center"/>
        <w:tblLayout w:type="fixed"/>
        <w:tblLook w:firstColumn="1" w:firstRow="1" w:lastColumn="0" w:lastRow="0" w:noHBand="0" w:noVBand="1" w:val="04A0"/>
      </w:tblPr>
      <w:tblGrid>
        <w:gridCol w:w="4896"/>
        <w:gridCol w:w="4896"/>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Field</w:t>
            </w:r>
          </w:p>
        </w:tc>
        <w:tc>
          <w:tcPr>
            <w:tcW w:type="dxa" w:w="74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Value</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status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Consolidated draft for review; not a commissioning approval</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Design authority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Q01–Q20 agreed in the Consolidated Design Decision Register</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and reviewers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TBD. Proposed reviewers: Linux consultant and relevant dependency design owners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Change history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v0.2: consolidated into the five original paper boundaries; agreed decisions preserved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Classification</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Project lab design; editable controlled master</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Approval record</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Approver, date and approval reference: TBD</w:t>
            </w:r>
          </w:p>
        </w:tc>
      </w:tr>
    </w:tbl>
    <w:p>
      <w:pPr>
        <w:spacing w:after="40"/>
      </w:pPr>
    </w:p>
    <w:p>
      <w:r>
        <w:t>Status convention: Approved describes the agreed Q01–Q20 design choices. Proposed describes implementation suggestions requiring confirmation. TBD identifies a value or dependency that has not been specified. Draft status does not reopen approved choices or imply that proposed settings are approved.</w:t>
      </w:r>
    </w:p>
    <w:p>
      <w:pPr>
        <w:pStyle w:val="Heading1"/>
      </w:pPr>
      <w:r>
        <w:t>Scope and paper boundaries</w:t>
      </w:r>
    </w:p>
    <w:tbl>
      <w:tblPr>
        <w:tblW w:type="auto" w:w="0"/>
        <w:jc w:val="center"/>
        <w:tblLayout w:type="fixed"/>
        <w:tblLook w:firstColumn="1" w:firstRow="1" w:lastColumn="0" w:lastRow="0" w:noHBand="0" w:noVBand="1" w:val="04A0"/>
      </w:tblPr>
      <w:tblGrid>
        <w:gridCol w:w="4896"/>
        <w:gridCol w:w="4896"/>
      </w:tblGrid>
      <w:tr>
        <w:trPr>
          <w:tblHeader/>
        </w:trPr>
        <w:tc>
          <w:tcPr>
            <w:tcW w:type="dxa" w:w="187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Paper</w:t>
            </w:r>
          </w:p>
        </w:tc>
        <w:tc>
          <w:tcPr>
            <w:tcW w:type="dxa" w:w="777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responsibility</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Server Build Standard</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Operating System Installation &amp; Provisioning</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 Configuration &amp; Service Management</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Operations &amp; Baseline Validation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 Commissioning &amp; Build Documentation</w:t>
            </w:r>
          </w:p>
        </w:tc>
      </w:tr>
    </w:tbl>
    <w:p>
      <w:pPr>
        <w:spacing w:after="40"/>
      </w:pPr>
    </w:p>
    <w:p>
      <w:r>
        <w:t>The decision text below is authoritative only in its owning paper. Other papers reference it for implementation and evidence. Service and role designs remain owned by their respective LLDs; an OS build does not constitute acceptance of those services.</w:t>
      </w:r>
    </w:p>
    <w:p>
      <w:pPr>
        <w:pStyle w:val="Heading1"/>
      </w:pPr>
      <w:r>
        <w:t>Approved decisions owned by this paper</w:t>
      </w:r>
    </w:p>
    <w:p>
      <w:pPr>
        <w:pStyle w:val="Heading2"/>
      </w:pPr>
      <w:r>
        <w:t>Q19 What configuration documentation should accompany a server build?</w:t>
      </w:r>
    </w:p>
    <w:p>
      <w:r>
        <w:t>Approved: Three complementary records: (1) Standard Build Guide, (2) Controlled Configuration Baseline and (3) Server-Specific Implementation Record containing actual configuration, validation evidence, deviations and lessons learned.</w:t>
      </w:r>
    </w:p>
    <w:p>
      <w:pPr>
        <w:pStyle w:val="Heading1"/>
      </w:pPr>
      <w:r>
        <w:t>The three complementary build records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259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Record</w:t>
            </w:r>
          </w:p>
        </w:tc>
        <w:tc>
          <w:tcPr>
            <w:tcW w:type="dxa" w:w="38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Contents</w:t>
            </w:r>
          </w:p>
        </w:tc>
        <w:tc>
          <w:tcPr>
            <w:tcW w:type="dxa" w:w="316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Relationship</w:t>
            </w:r>
          </w:p>
        </w:tc>
      </w:tr>
      <w:t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Standard Build Guide</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Reusable ordered installation, configuration and validation procedure</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Derived from LLD-02-001 through 004; contains references rather than repeated decision text</w:t>
            </w:r>
          </w:p>
        </w:tc>
      </w:tr>
      <w:tr>
        <w:tc>
          <w:tcPr>
            <w:tcW w:type="dxa" w:w="259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Controlled Configuration Baseline</w:t>
            </w:r>
          </w:p>
        </w:tc>
        <w:tc>
          <w:tcPr>
            <w:tcW w:type="dxa" w:w="38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Versioned intended values, common controls and approved role variations</w:t>
            </w:r>
          </w:p>
        </w:tc>
        <w:tc>
          <w:tcPr>
            <w:tcW w:type="dxa" w:w="316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Defines what each build should implement; proposed values remain visibly proposed</w:t>
            </w:r>
          </w:p>
        </w:tc>
      </w:tr>
      <w:t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Server-Specific Implementation Record</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Actual configuration, evidence, deviations and lessons learned</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Includes implementation NIM evidence and references to exact baseline and guide versions</w:t>
            </w:r>
          </w:p>
        </w:tc>
      </w:tr>
    </w:tbl>
    <w:p>
      <w:pPr>
        <w:spacing w:after="40"/>
      </w:pPr>
    </w:p>
    <w:p>
      <w:r>
        <w:t>The three records serve different purposes and must not be merged into a generic checklist. The design papers specify intent; the baseline supplies selected implementation values; the implementation record proves what was built. Keep credentials and private keys outside all three records.</w:t>
      </w:r>
    </w:p>
    <w:p>
      <w:pPr>
        <w:pStyle w:val="Heading1"/>
      </w:pPr>
      <w:r>
        <w:t>Proposed record structure</w:t>
      </w:r>
    </w:p>
    <w:p>
      <w:r>
        <w:t>Proposed GitHub structure: docs/build-guides/rhel-standard.md; docs/baselines/rhel-baseline.md; docs/servers/fw01/ and docs/servers/jump01/ for implementation records and sanitized evidence. Repository location, naming and approval workflow are TBD. Include Jira references and Git commit identifiers so the version used for a build remains traceable.</w:t>
      </w:r>
    </w:p>
    <w:tbl>
      <w:tblPr>
        <w:tblW w:type="auto" w:w="0"/>
        <w:jc w:val="center"/>
        <w:tblLayout w:type="fixed"/>
        <w:tblLook w:firstColumn="1" w:firstRow="1" w:lastColumn="0" w:lastRow="0" w:noHBand="0" w:noVBand="1" w:val="04A0"/>
      </w:tblPr>
      <w:tblGrid>
        <w:gridCol w:w="4896"/>
        <w:gridCol w:w="4896"/>
      </w:tblGrid>
      <w:tr>
        <w:trPr>
          <w:tblHeader/>
        </w:trPr>
        <w:tc>
          <w:tcPr>
            <w:tcW w:type="dxa" w:w="230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Implementation field</w:t>
            </w:r>
          </w:p>
        </w:tc>
        <w:tc>
          <w:tcPr>
            <w:tcW w:type="dxa" w:w="734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content</w:t>
            </w:r>
          </w:p>
        </w:tc>
      </w:tr>
      <w:t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Identity and ownership</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 role, hostname, VM identifier, asset owner, operator and build date</w:t>
            </w:r>
          </w:p>
        </w:tc>
      </w:tr>
      <w:tr>
        <w:tc>
          <w:tcPr>
            <w:tcW w:type="dxa" w:w="230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Design provenance</w:t>
            </w:r>
          </w:p>
        </w:tc>
        <w:tc>
          <w:tcPr>
            <w:tcW w:type="dxa" w:w="734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 paper versions, Q decision references, dependency versions and approved baseline commit</w:t>
            </w:r>
          </w:p>
        </w:tc>
      </w:tr>
      <w:t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and OS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RAM, firmware, NICs, 40 GiB disk, RHEL release, ISO checksum and running kernel</w:t>
            </w:r>
          </w:p>
        </w:tc>
      </w:tr>
      <w:tr>
        <w:tc>
          <w:tcPr>
            <w:tcW w:type="dxa" w:w="230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Storage</w:t>
            </w:r>
          </w:p>
        </w:tc>
        <w:tc>
          <w:tcPr>
            <w:tcW w:type="dxa" w:w="734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Actual partition/LV sizes, filesystem types, mount points, VG free space and swap</w:t>
            </w:r>
          </w:p>
        </w:tc>
      </w:tr>
      <w:t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Connectivity</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NIC mapping, IP prefixes, VLANs, routes, DNS and management path</w:t>
            </w:r>
          </w:p>
        </w:tc>
      </w:tr>
      <w:tr>
        <w:tc>
          <w:tcPr>
            <w:tcW w:type="dxa" w:w="230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Services and security</w:t>
            </w:r>
          </w:p>
        </w:tc>
        <w:tc>
          <w:tcPr>
            <w:tcW w:type="dxa" w:w="734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Required units, SSH effective settings, sudo scope, SELinux, host firewall and audit applicability</w:t>
            </w:r>
          </w:p>
        </w:tc>
      </w:tr>
      <w:t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Operations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Repositories, registration evidence, update detection, patch transaction, time sources and logging limits</w:t>
            </w:r>
          </w:p>
        </w:tc>
      </w:tr>
      <w:tr>
        <w:tc>
          <w:tcPr>
            <w:tcW w:type="dxa" w:w="230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Acceptance evidence</w:t>
            </w:r>
          </w:p>
        </w:tc>
        <w:tc>
          <w:tcPr>
            <w:tcW w:type="dxa" w:w="734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Checklist results, commands or test method, timestamp, tester and evidence references</w:t>
            </w:r>
          </w:p>
        </w:tc>
      </w:tr>
      <w:t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Temporary dependencies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Bootstrap DNS/NTP and access rules, owner, expiry and transition change</w:t>
            </w:r>
          </w:p>
        </w:tc>
      </w:tr>
      <w:tr>
        <w:tc>
          <w:tcPr>
            <w:tcW w:type="dxa" w:w="230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Exceptions and issues</w:t>
            </w:r>
          </w:p>
        </w:tc>
        <w:tc>
          <w:tcPr>
            <w:tcW w:type="dxa" w:w="734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Clause, rationale, risk, compensating control, approval and review date</w:t>
            </w:r>
          </w:p>
        </w:tc>
      </w:tr>
      <w:t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and handover</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 recovery reference, console access custody, runbook links, support owner and sign-off</w:t>
            </w:r>
          </w:p>
        </w:tc>
      </w:tr>
      <w:tr>
        <w:tc>
          <w:tcPr>
            <w:tcW w:type="dxa" w:w="230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Lessons learned</w:t>
            </w:r>
          </w:p>
        </w:tc>
        <w:tc>
          <w:tcPr>
            <w:tcW w:type="dxa" w:w="734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Observed problems, corrective action and follow-up work without rewriting approved design history</w:t>
            </w:r>
          </w:p>
        </w:tc>
      </w:tr>
    </w:tbl>
    <w:p>
      <w:pPr>
        <w:spacing w:after="40"/>
      </w:pPr>
    </w:p>
    <w:p>
      <w:pPr>
        <w:pStyle w:val="Heading1"/>
      </w:pPr>
      <w:r>
        <w:t>Evidence format and handling</w:t>
      </w:r>
    </w:p>
    <w:p>
      <w:r>
        <w:t>Give each evidence item a stable identifier, server, test reference, timestamp including timezone, operator, method, expected result, observed result and disposition. Preserve command exit status where meaningful, especially update checks. Distinguish captured output from illustrative commands. Sanitize secrets and unrelated personal information before committing evidence.</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72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Evidence ID</w:t>
            </w:r>
          </w:p>
        </w:tc>
        <w:tc>
          <w:tcPr>
            <w:tcW w:type="dxa" w:w="360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Test reference</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Result</w:t>
            </w:r>
          </w:p>
        </w:tc>
        <w:tc>
          <w:tcPr>
            <w:tcW w:type="dxa" w:w="302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Evidence location</w:t>
            </w:r>
          </w:p>
        </w:tc>
      </w:tr>
      <w:t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FW01-VAL-001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 OS identity</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Pending</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r>
      <w:tr>
        <w:tc>
          <w:tcPr>
            <w:tcW w:type="dxa" w:w="17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FW01-ROLE-001</w:t>
            </w:r>
          </w:p>
        </w:tc>
        <w:tc>
          <w:tcPr>
            <w:tcW w:type="dxa" w:w="360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 routing and NAT</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Pending</w:t>
            </w:r>
          </w:p>
        </w:tc>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r>
      <w:tr>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JUMP01-VAL-001</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 OS identity</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Pending</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r>
      <w:tr>
        <w:tc>
          <w:tcPr>
            <w:tcW w:type="dxa" w:w="17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JUMP01-ROLE-001</w:t>
            </w:r>
          </w:p>
        </w:tc>
        <w:tc>
          <w:tcPr>
            <w:tcW w:type="dxa" w:w="360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 controlled access</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Pending</w:t>
            </w:r>
          </w:p>
        </w:tc>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r>
    </w:tbl>
    <w:p>
      <w:pPr>
        <w:spacing w:after="40"/>
      </w:pPr>
    </w:p>
    <w:p>
      <w:r>
        <w:t>These are proposed identifiers and unexecuted examples. They do not establish successful builds. Logs and screenshots should corroborate a written result; a screenshot without an acceptance criterion is insufficient.</w:t>
      </w:r>
    </w:p>
    <w:p>
      <w:pPr>
        <w:pStyle w:val="Heading1"/>
      </w:pPr>
      <w:r>
        <w:t>Exception and open issue record</w:t>
      </w:r>
    </w:p>
    <w:tbl>
      <w:tblPr>
        <w:tblW w:type="auto" w:w="0"/>
        <w:jc w:val="center"/>
        <w:tblLayout w:type="fixed"/>
        <w:tblLook w:firstColumn="1" w:firstRow="1" w:lastColumn="0" w:lastRow="0" w:noHBand="0" w:noVBand="1" w:val="04A0"/>
      </w:tblPr>
      <w:tblGrid>
        <w:gridCol w:w="4896"/>
        <w:gridCol w:w="4896"/>
      </w:tblGrid>
      <w:tr>
        <w:trPr>
          <w:tblHeader/>
        </w:trPr>
        <w:tc>
          <w:tcPr>
            <w:tcW w:type="dxa" w:w="201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Field</w:t>
            </w:r>
          </w:p>
        </w:tc>
        <w:tc>
          <w:tcPr>
            <w:tcW w:type="dxa" w:w="763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entry</w:t>
            </w:r>
          </w:p>
        </w:tc>
      </w:tr>
      <w:t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w:t>
            </w:r>
          </w:p>
        </w:tc>
        <w:tc>
          <w:tcPr>
            <w:tcW w:type="dxa" w:w="76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Unique issue or exception ID and Jira link</w:t>
            </w:r>
          </w:p>
        </w:tc>
      </w:tr>
      <w:tr>
        <w:tc>
          <w:tcPr>
            <w:tcW w:type="dxa" w:w="20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Affected requirement</w:t>
            </w:r>
          </w:p>
        </w:tc>
        <w:tc>
          <w:tcPr>
            <w:tcW w:type="dxa" w:w="763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 decision, paper clause, server and baseline version</w:t>
            </w:r>
          </w:p>
        </w:tc>
      </w:tr>
      <w:t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Reason and effect</w:t>
            </w:r>
          </w:p>
        </w:tc>
        <w:tc>
          <w:tcPr>
            <w:tcW w:type="dxa" w:w="76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Business need, technical constraint, risk and affected dependencies</w:t>
            </w:r>
          </w:p>
        </w:tc>
      </w:tr>
      <w:tr>
        <w:tc>
          <w:tcPr>
            <w:tcW w:type="dxa" w:w="20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Treatment</w:t>
            </w:r>
          </w:p>
        </w:tc>
        <w:tc>
          <w:tcPr>
            <w:tcW w:type="dxa" w:w="763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Corrective work or compensating controls; recovery implications</w:t>
            </w:r>
          </w:p>
        </w:tc>
      </w:tr>
      <w:t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Authority</w:t>
            </w:r>
          </w:p>
        </w:tc>
        <w:tc>
          <w:tcPr>
            <w:tcW w:type="dxa" w:w="76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Named approver, disposition and approval date</w:t>
            </w:r>
          </w:p>
        </w:tc>
      </w:tr>
      <w:tr>
        <w:tc>
          <w:tcPr>
            <w:tcW w:type="dxa" w:w="20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Lifecycle</w:t>
            </w:r>
          </w:p>
        </w:tc>
        <w:tc>
          <w:tcPr>
            <w:tcW w:type="dxa" w:w="763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expiry or review date, closure evidence and documentation commit</w:t>
            </w:r>
          </w:p>
        </w:tc>
      </w:tr>
    </w:tbl>
    <w:p>
      <w:pPr>
        <w:spacing w:after="40"/>
      </w:pPr>
    </w:p>
    <w:p>
      <w:r>
        <w:t>An unresolved implementation parameter is a TBD; a suggested setting is Proposed; a departure from an approved requirement is an exception. Do not call an undocumented deviation an approved role variation. Correct records after implementation when actual sizes or identifiers differ from a proposal, while preserving the approved choice and its traceability.</w:t>
      </w:r>
    </w:p>
    <w:p>
      <w:pPr>
        <w:pStyle w:val="Heading1"/>
      </w:pPr>
      <w:r>
        <w:t>Commissioning workflow and acceptance gate</w:t>
      </w:r>
    </w:p>
    <w:p>
      <w:r>
        <w:t>1. Complete the standard build guide steps and record the actual server configuration against a versioned baseline.</w:t>
      </w:r>
    </w:p>
    <w:p>
      <w:r>
        <w:t>2. Execute every applicable LLD-02-004 check, including reboot persistence. Attach LLD-06 FW01 or LLD-07 JUMP01 role acceptance results separately.</w:t>
      </w:r>
    </w:p>
    <w:p>
      <w:r>
        <w:t>3. Resolve failed tests or obtain explicit documented disposition from the responsible authority. Pending critical access, protection or recovery dependencies prevent full commissioning.</w:t>
      </w:r>
    </w:p>
    <w:p>
      <w:r>
        <w:t>4. Confirm recovery and rebuild information through LLD-09, credential custody, operator ownership and runbook availability. Record any temporary bootstrap dependencies and their removal plan.</w:t>
      </w:r>
    </w:p>
    <w:p>
      <w:r>
        <w:t>5. Register the asset, assemble the handover package and obtain named acceptance with date and reference. Record whether acceptance is full, conditional or rejected; the authority and allowed conditions remain TBD.</w:t>
      </w:r>
    </w:p>
    <w:p>
      <w:r>
        <w:t>6. Preserve the accepted implementation record and Git version. All subsequent configuration changes follow LLD-02-004 change control and update the asset and baseline records where applicable.</w:t>
      </w:r>
    </w:p>
    <w:p>
      <w:pPr>
        <w:pStyle w:val="Heading1"/>
      </w:pPr>
      <w:r>
        <w:t>Asset registration and handover</w:t>
      </w:r>
    </w:p>
    <w:tbl>
      <w:tblPr>
        <w:tblW w:type="auto" w:w="0"/>
        <w:jc w:val="center"/>
        <w:tblLayout w:type="fixed"/>
        <w:tblLook w:firstColumn="1" w:firstRow="1" w:lastColumn="0" w:lastRow="0" w:noHBand="0" w:noVBand="1" w:val="04A0"/>
      </w:tblPr>
      <w:tblGrid>
        <w:gridCol w:w="4896"/>
        <w:gridCol w:w="4896"/>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Handover item</w:t>
            </w:r>
          </w:p>
        </w:tc>
        <w:tc>
          <w:tcPr>
            <w:tcW w:type="dxa" w:w="74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record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Asset register</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Hostname, role, VM ID, OS version, CPU/RAM/disk, networks, owner, status and record links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Operations guide</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Administration path, console recovery access process, service checks and escalation ownership</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package</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Configuration protection, recovery prerequisites and rebuild/restore procedure under LLD-09</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Known limitations</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Open issues, conditional acceptance terms and temporary bootstrap dependencies</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Acceptance</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Tester, reviewer, accepting owner, date, checklist version and approval reference</w:t>
            </w:r>
          </w:p>
        </w:tc>
      </w:tr>
    </w:tbl>
    <w:p>
      <w:pPr>
        <w:spacing w:after="40"/>
      </w:pPr>
    </w:p>
    <w:p>
      <w:r>
        <w:t>FW01 handover must make routing, NAT, boundary policy and approved management access understandable through LLD-06 records. JUMP01 handover must describe authorized administrator entry and onward access through LLD-07 records. Do not include root passwords, private SSH keys or subscription credentials in the asset register.</w:t>
      </w:r>
    </w:p>
    <w:p>
      <w:pPr>
        <w:pStyle w:val="Heading1"/>
      </w:pPr>
      <w:r>
        <w:t>CORE01 and OPS01 transition tracking</w:t>
      </w:r>
    </w:p>
    <w:p>
      <w:r>
        <w:t>When CORE01 becomes available, use a controlled change to replace temporary name resolution and NTP sources, then revalidate dependent connectivity and time. When OPS01 becomes available, document centralized logging integration and validate transport and receipt while preserving local persistent logging. Record temporary rule removal and the resulting baseline version. No availability date or IP address is assumed here.</w:t>
      </w:r>
    </w:p>
    <w:p>
      <w:pPr>
        <w:pStyle w:val="Heading1"/>
      </w:pPr>
      <w:r>
        <w:t>Dependencies and implementation gates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08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Design</w:t>
            </w:r>
          </w:p>
        </w:tc>
        <w:tc>
          <w:tcPr>
            <w:tcW w:type="dxa" w:w="39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Ownership</w:t>
            </w:r>
          </w:p>
        </w:tc>
        <w:tc>
          <w:tcPr>
            <w:tcW w:type="dxa" w:w="460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input</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specifications, hypervisor configuration and storage allocation</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RAM, firmware, virtual NIC mapping and disk presentation</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VLANs, IP addressing, routing, DNS dependencies and firewall connectivity</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 interfaces, VLANs, routing, NAT, policy and temporary DNS</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access, SSH and identity management</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Administrator identities, source restrictions, SSH settings and privileges</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Backup, recovery and rebuild requirements</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prerequisites, backup scope and restore verification</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LLD-12</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Detailed operating system security hardening</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Hardening values, exceptions and security validation</w:t>
            </w:r>
          </w:p>
        </w:tc>
      </w:tr>
    </w:tbl>
    <w:p>
      <w:pPr>
        <w:spacing w:after="40"/>
      </w:pPr>
    </w:p>
    <w:p>
      <w:r>
        <w:t>Full commissioning requires applicable dependency values and evidence. LLD-01 confirms virtual assets, LLD-06 validates FW01 networking, LLD-07 validates administrative access, LLD-09 validates recovery arrangements and LLD-12 confirms detailed security controls. A lab build can be recorded as provisional, but must not be represented as fully commissioned without the responsible acceptance.</w:t>
      </w:r>
    </w:p>
    <w:p>
      <w:pPr>
        <w:pStyle w:val="Heading1"/>
      </w:pPr>
      <w:r>
        <w:t>Traceability and unresolved settings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Decision</w:t>
            </w:r>
          </w:p>
        </w:tc>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paper</w:t>
            </w:r>
          </w:p>
        </w:tc>
        <w:tc>
          <w:tcPr>
            <w:tcW w:type="dxa" w:w="633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Use in this paper</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Q18</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Q19</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Q20</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bl>
    <w:p>
      <w:pPr>
        <w:spacing w:after="40"/>
      </w:pP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302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Open item</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Status</w:t>
            </w:r>
          </w:p>
        </w:tc>
        <w:tc>
          <w:tcPr>
            <w:tcW w:type="dxa" w:w="532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Resolution requirement</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and acceptance owners</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Assign named reviewers and accepting authority</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Asset register location</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Confirm GitHub/Jira record arrangement</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Implementation NIM convention</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Define local record identifier and evidence location</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Executed acceptance results</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Complete FW01 and JUMP01 tests</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and security handover</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 and LLD-12 confirmation</w:t>
            </w:r>
          </w:p>
        </w:tc>
      </w:tr>
    </w:tbl>
    <w:p>
      <w:pPr>
        <w:spacing w:after="40"/>
      </w:pPr>
    </w:p>
    <w:p>
      <w:r>
        <w:t>Resolve open implementation values through the responsible dependency or configuration baseline. Record the result and its reference; do not silently substitute a proposed value. A deviation from an approved decision requires explicit exception handling under LLD-02-005.</w:t>
      </w:r>
    </w:p>
    <w:p>
      <w:pPr>
        <w:pStyle w:val="Heading1"/>
      </w:pPr>
      <w:r>
        <w:t>References</w:t>
      </w:r>
    </w:p>
    <w:p>
      <w:r>
        <w:t>Project authority: LLD-02 Consolidated Design Decision Register, Project Redstone / Northwind Outdoor Ltd., Q01–Q20 and supporting requirements. Dependency identifiers refer to design responsibilities; their detailed configuration values remain to be confirmed.</w:t>
      </w:r>
    </w:p>
    <w:p>
      <w:r>
        <w:t>Technical reference: Red Hat Enterprise Linux 10 product documentation, https://docs.redhat.com/en/documentation/red_hat_enterprise_linux/10. Verify command availability and effective configuration on the installed minor release. Examples are implementation guidance, not records of executed changes.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LLD-02-005 | v0.2 Consolidated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Commissioning &amp; Build Documentation</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