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0"/>
      </w:pPr>
      <w:r>
        <w:rPr>
          <w:rFonts w:ascii="Times New Roman" w:hAnsi="Times New Roman" w:cs="Times New Roman"/>
          <w:sz w:val="40"/>
          <w:sz-cs w:val="40"/>
          <w:b/>
          <w:spacing w:val="0"/>
        </w:rPr>
        <w:t xml:space="preserve">Bulk Loading in Extensible Index Frameworks</w:t>
      </w:r>
      <w:r>
        <w:rPr>
          <w:rFonts w:ascii="Times New Roman" w:hAnsi="Times New Roman" w:cs="Times New Roman"/>
          <w:sz w:val="40"/>
          <w:sz-cs w:val="40"/>
          <w:spacing w:val="0"/>
        </w:rPr>
        <w:t xml:space="preserve"/>
      </w:r>
    </w:p>
    <w:p>
      <w:pPr>
        <w:jc w:val="center"/>
        <w:spacing w:after="346"/>
      </w:pPr>
      <w:r>
        <w:rPr>
          <w:rFonts w:ascii="Times New Roman" w:hAnsi="Times New Roman" w:cs="Times New Roman"/>
          <w:sz w:val="34"/>
          <w:sz-cs w:val="34"/>
          <w:spacing w:val="0"/>
        </w:rPr>
        <w:t xml:space="preserve">Andrey Borodin</w:t>
      </w:r>
    </w:p>
    <w:p>
      <w:pPr>
        <w:jc w:val="center"/>
        <w:spacing w:after="320"/>
      </w:pPr>
      <w:r>
        <w:rPr>
          <w:rFonts w:ascii="Times New Roman" w:hAnsi="Times New Roman" w:cs="Times New Roman"/>
          <w:sz w:val="32"/>
          <w:sz-cs w:val="32"/>
          <w:spacing w:val="0"/>
        </w:rPr>
        <w:t xml:space="preserve">Yandex Cloud, Yekaterinburg, Russia</w:t>
      </w:r>
    </w:p>
    <w:p>
      <w:pPr>
        <w:spacing w:after="320"/>
      </w:pPr>
      <w:r>
        <w:rPr>
          <w:rFonts w:ascii="Times New Roman" w:hAnsi="Times New Roman" w:cs="Times New Roman"/>
          <w:sz w:val="32"/>
          <w:sz-cs w:val="32"/>
          <w:spacing w:val="0"/>
        </w:rPr>
        <w:t xml:space="preserve"> </w:t>
      </w:r>
    </w:p>
    <w:p>
      <w:pPr>
        <w:spacing w:after="320"/>
      </w:pPr>
      <w:r>
        <w:rPr>
          <w:rFonts w:ascii="Times New Roman" w:hAnsi="Times New Roman" w:cs="Times New Roman"/>
          <w:sz w:val="32"/>
          <w:sz-cs w:val="32"/>
          <w:b/>
          <w:spacing w:val="0"/>
        </w:rPr>
        <w:t xml:space="preserve">Address for correspondence</w:t>
      </w:r>
      <w:r>
        <w:rPr>
          <w:rFonts w:ascii="Times New Roman" w:hAnsi="Times New Roman" w:cs="Times New Roman"/>
          <w:sz w:val="32"/>
          <w:sz-cs w:val="32"/>
          <w:spacing w:val="0"/>
        </w:rPr>
        <w:t xml:space="preserve"/>
      </w:r>
    </w:p>
    <w:p>
      <w:pPr>
        <w:spacing w:after="320"/>
      </w:pPr>
      <w:r>
        <w:rPr>
          <w:rFonts w:ascii="Times New Roman" w:hAnsi="Times New Roman" w:cs="Times New Roman"/>
          <w:sz w:val="32"/>
          <w:sz-cs w:val="32"/>
          <w:spacing w:val="0"/>
        </w:rPr>
        <w:t xml:space="preserve">Andrey Borodin</w:t>
        <w:br/>
        <w:t xml:space="preserve">Yandex Cloud</w:t>
        <w:br/>
        <w:t xml:space="preserve">Yekaterinburg, Russia</w:t>
        <w:br/>
        <w:t xml:space="preserve">E-mail: amborodin@acm.org</w:t>
      </w:r>
    </w:p>
    <w:p>
      <w:pPr>
        <w:spacing w:after="320"/>
      </w:pPr>
      <w:r>
        <w:rPr>
          <w:rFonts w:ascii="Times New Roman" w:hAnsi="Times New Roman" w:cs="Times New Roman"/>
          <w:sz w:val="32"/>
          <w:sz-cs w:val="32"/>
          <w:spacing w:val="0"/>
        </w:rPr>
        <w:t xml:space="preserve"> </w:t>
      </w:r>
    </w:p>
    <w:p>
      <w:pPr>
        <w:spacing w:after="320"/>
      </w:pPr>
      <w:r>
        <w:rPr>
          <w:rFonts w:ascii="Times New Roman" w:hAnsi="Times New Roman" w:cs="Times New Roman"/>
          <w:sz w:val="32"/>
          <w:sz-cs w:val="32"/>
          <w:b/>
          <w:spacing w:val="0"/>
        </w:rPr>
        <w:t xml:space="preserve">Acknowledgements</w:t>
      </w:r>
      <w:r>
        <w:rPr>
          <w:rFonts w:ascii="Times New Roman" w:hAnsi="Times New Roman" w:cs="Times New Roman"/>
          <w:sz w:val="32"/>
          <w:sz-cs w:val="32"/>
          <w:spacing w:val="0"/>
        </w:rPr>
        <w:t xml:space="preserve"/>
      </w:r>
    </w:p>
    <w:p>
      <w:pPr>
        <w:spacing w:after="320"/>
      </w:pPr>
      <w:r>
        <w:rPr>
          <w:rFonts w:ascii="Times New Roman" w:hAnsi="Times New Roman" w:cs="Times New Roman"/>
          <w:sz w:val="32"/>
          <w:sz-cs w:val="32"/>
          <w:spacing w:val="0"/>
        </w:rPr>
        <w:t xml:space="preserve">The work on non-leaf key overlap started as a distributed hackathon convened by Darafei Praliaskouski, who brought the problem — a spatial index that was built quickly and queried slowly — and gathered the participants. Aliaksandr Kalenik and Sergei Shoulbakov took part in it; many alternatives were tried before the one described in the paper was chosen, and the discarded ones informed the design as much as the accepted one. I thank Heikki Linnakangas, Thomas Munro, Pavel Borisov, Andres Freund, Alexander Korotkov and Bernd Helmle for review of the implementation, Bernd Helmle for the btree_gist work discussed in the section on deployment experience, and Sergey Porshnev for discussions of the cost model.</w:t>
      </w:r>
    </w:p>
    <w:p>
      <w:pPr>
        <w:spacing w:after="320"/>
      </w:pPr>
      <w:r>
        <w:rPr>
          <w:rFonts w:ascii="Times New Roman" w:hAnsi="Times New Roman" w:cs="Times New Roman"/>
          <w:sz w:val="32"/>
          <w:sz-cs w:val="32"/>
          <w:spacing w:val="0"/>
        </w:rPr>
        <w:t xml:space="preserve"> </w:t>
      </w:r>
    </w:p>
    <w:p>
      <w:pPr>
        <w:spacing w:after="320"/>
      </w:pPr>
      <w:r>
        <w:rPr>
          <w:rFonts w:ascii="Times New Roman" w:hAnsi="Times New Roman" w:cs="Times New Roman"/>
          <w:sz w:val="32"/>
          <w:sz-cs w:val="32"/>
          <w:b/>
          <w:spacing w:val="0"/>
        </w:rPr>
        <w:t xml:space="preserve">Conflict of interest statement</w:t>
      </w:r>
      <w:r>
        <w:rPr>
          <w:rFonts w:ascii="Times New Roman" w:hAnsi="Times New Roman" w:cs="Times New Roman"/>
          <w:sz w:val="32"/>
          <w:sz-cs w:val="32"/>
          <w:spacing w:val="0"/>
        </w:rPr>
        <w:t xml:space="preserve"/>
      </w:r>
    </w:p>
    <w:p>
      <w:pPr>
        <w:spacing w:after="320"/>
      </w:pPr>
      <w:r>
        <w:rPr>
          <w:rFonts w:ascii="Times New Roman" w:hAnsi="Times New Roman" w:cs="Times New Roman"/>
          <w:sz w:val="32"/>
          <w:sz-cs w:val="32"/>
          <w:spacing w:val="0"/>
        </w:rPr>
        <w:t xml:space="preserve">The author declares no conflict of interest. The author is employed by Yandex Cloud, which operates a managed database service based on PostgreSQL. The implementation described in the paper is part of PostgreSQL itself, is distributed under the PostgreSQL licence and is available to any user of the system; no proprietary product of the employer is evaluated or promoted in the paper.</w:t>
      </w:r>
    </w:p>
    <w:p>
      <w:pPr>
        <w:spacing w:after="320"/>
      </w:pPr>
      <w:r>
        <w:rPr>
          <w:rFonts w:ascii="Times New Roman" w:hAnsi="Times New Roman" w:cs="Times New Roman"/>
          <w:sz w:val="32"/>
          <w:sz-cs w:val="32"/>
          <w:spacing w:val="0"/>
        </w:rPr>
        <w:t xml:space="preserve"> </w:t>
      </w:r>
    </w:p>
    <w:p>
      <w:pPr>
        <w:spacing w:after="320"/>
      </w:pPr>
      <w:r>
        <w:rPr>
          <w:rFonts w:ascii="Times New Roman" w:hAnsi="Times New Roman" w:cs="Times New Roman"/>
          <w:sz w:val="32"/>
          <w:sz-cs w:val="32"/>
          <w:b/>
          <w:spacing w:val="0"/>
        </w:rPr>
        <w:t xml:space="preserve">Declaration of generative AI and AI-assisted technologies</w:t>
      </w:r>
      <w:r>
        <w:rPr>
          <w:rFonts w:ascii="Times New Roman" w:hAnsi="Times New Roman" w:cs="Times New Roman"/>
          <w:sz w:val="32"/>
          <w:sz-cs w:val="32"/>
          <w:spacing w:val="0"/>
        </w:rPr>
        <w:t xml:space="preserve"/>
      </w:r>
    </w:p>
    <w:p>
      <w:pPr>
        <w:spacing w:after="320"/>
      </w:pPr>
      <w:r>
        <w:rPr>
          <w:rFonts w:ascii="Times New Roman" w:hAnsi="Times New Roman" w:cs="Times New Roman"/>
          <w:sz w:val="32"/>
          <w:sz-cs w:val="32"/>
          <w:spacing w:val="0"/>
        </w:rPr>
        <w:t xml:space="preserve">Declared in the manuscript, in the section preceding the references, in accordance with the publisher’s policy.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