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C940E" w14:textId="77777777" w:rsidR="000A6D05" w:rsidRDefault="00000000">
      <w:pPr>
        <w:pStyle w:val="Heading1"/>
      </w:pPr>
      <w:bookmarkStart w:id="0" w:name="X309d15261eccb42616ef7eaade9e6128bc955cf"/>
      <w:r>
        <w:t>X‑Leverage Protocol — Institutional Whitepaper (v1.0)</w:t>
      </w:r>
    </w:p>
    <w:p w14:paraId="42EC940F" w14:textId="77777777" w:rsidR="000A6D05" w:rsidRDefault="00000000">
      <w:pPr>
        <w:pStyle w:val="CaptionedFigure"/>
      </w:pPr>
      <w:r>
        <w:rPr>
          <w:noProof/>
        </w:rPr>
        <w:drawing>
          <wp:inline distT="0" distB="0" distL="0" distR="0" wp14:anchorId="42EC95B1" wp14:editId="42EC95B2">
            <wp:extent cx="5334000" cy="3556000"/>
            <wp:effectExtent l="0" t="0" r="0" b="0"/>
            <wp:docPr id="21" name="Picture" descr="Cover"/>
            <wp:cNvGraphicFramePr/>
            <a:graphic xmlns:a="http://schemas.openxmlformats.org/drawingml/2006/main">
              <a:graphicData uri="http://schemas.openxmlformats.org/drawingml/2006/picture">
                <pic:pic xmlns:pic="http://schemas.openxmlformats.org/drawingml/2006/picture">
                  <pic:nvPicPr>
                    <pic:cNvPr id="22" name="Picture" descr="526888f5-084f-4377-af84-b0d4eabea6c8.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42EC9410" w14:textId="77777777" w:rsidR="000A6D05" w:rsidRDefault="00000000">
      <w:pPr>
        <w:pStyle w:val="ImageCaption"/>
      </w:pPr>
      <w:r>
        <w:t>Cover</w:t>
      </w:r>
    </w:p>
    <w:p w14:paraId="42EC9411" w14:textId="77777777" w:rsidR="000A6D05" w:rsidRDefault="00000000">
      <w:pPr>
        <w:pStyle w:val="BodyText"/>
      </w:pPr>
      <w:r>
        <w:rPr>
          <w:b/>
          <w:bCs/>
        </w:rPr>
        <w:t>Prepared by</w:t>
      </w:r>
      <w:r>
        <w:t xml:space="preserve"> X‑Leverage Labs — Research &amp; Protocol Engineering Division</w:t>
      </w:r>
      <w:r>
        <w:br/>
      </w:r>
      <w:r>
        <w:rPr>
          <w:b/>
          <w:bCs/>
        </w:rPr>
        <w:t>Date:</w:t>
      </w:r>
      <w:r>
        <w:t xml:space="preserve"> January 2025</w:t>
      </w:r>
    </w:p>
    <w:p w14:paraId="42EC9412" w14:textId="77777777" w:rsidR="000A6D05" w:rsidRDefault="00000000">
      <w:pPr>
        <w:pStyle w:val="Heading2"/>
      </w:pPr>
      <w:bookmarkStart w:id="1" w:name="disclaimer"/>
      <w:r>
        <w:t>Disclaimer</w:t>
      </w:r>
    </w:p>
    <w:p w14:paraId="42EC9413" w14:textId="77777777" w:rsidR="000A6D05" w:rsidRDefault="00000000">
      <w:pPr>
        <w:pStyle w:val="FirstParagraph"/>
      </w:pPr>
      <w:r>
        <w:t>This whitepaper is provided for informational purposes only and does not constitute financial, investment, trading or legal advice. X‑Leverage is a non‑custodial, decentralised protocol governed by its tokenholders. All participants engage at their own risk and should carefully evaluate their tolerance to market volatility, smart‑contract vulnerabilities and liquidation events before interacting with the protocol.</w:t>
      </w:r>
    </w:p>
    <w:p w14:paraId="42EC9414" w14:textId="77777777" w:rsidR="000A6D05" w:rsidRDefault="00000000">
      <w:pPr>
        <w:pStyle w:val="Heading2"/>
      </w:pPr>
      <w:bookmarkStart w:id="2" w:name="abstract"/>
      <w:bookmarkEnd w:id="1"/>
      <w:r>
        <w:t>Abstract</w:t>
      </w:r>
    </w:p>
    <w:p w14:paraId="42EC9415" w14:textId="77777777" w:rsidR="000A6D05" w:rsidRDefault="00000000">
      <w:pPr>
        <w:pStyle w:val="FirstParagraph"/>
      </w:pPr>
      <w:r>
        <w:t>X‑Leverage creates a new class of decentralised financial primitive: Financing‑Based Leverage (FBL). The protocol offers structured, fixed‑term financing secured by user‑supplied collateral, enabling deterministic margin exposure without the variable interest rates or funding mechanisms common to borrowing markets and perpetual futures exchanges. Users deposit assets such as BTC, ETH, SOL and XNT, receive matched financing based on conservative loan‑to‑value (LTV) ratios and assume a leveraged position. All financing obligations—principal, fees and liquidation thresholds—are known at inception.</w:t>
      </w:r>
    </w:p>
    <w:p w14:paraId="42EC9416" w14:textId="77777777" w:rsidR="000A6D05" w:rsidRDefault="00000000">
      <w:pPr>
        <w:pStyle w:val="BodyText"/>
      </w:pPr>
      <w:r>
        <w:lastRenderedPageBreak/>
        <w:t>FBL differs fundamentally from lending protocols like Aave or Compound and from perpetual futures exchanges like GMX and dYdX. There are no floating APRs, no funding‑rate adjustments and no auction‑based liquidations. Instead, positions are governed by fixed fee schedules, deterministic LTV triggers and a transparent cash‑flow waterfall at settlement. Liquidity providers supply USDC into an LP vault and the protocol treasury co‑finances up to half of each position. Revenue accrues to XRS, the protocol’s revenue‑share token, while governance is exercised via XGT. This institutional‑grade architecture enables predictable leverage, aligns incentives across stakeholders and lays the foundation for a sustainable decentralised financing market.</w:t>
      </w:r>
    </w:p>
    <w:p w14:paraId="42EC9417" w14:textId="77777777" w:rsidR="000A6D05" w:rsidRDefault="00000000">
      <w:pPr>
        <w:pStyle w:val="Heading2"/>
      </w:pPr>
      <w:bookmarkStart w:id="3" w:name="executive-summary"/>
      <w:bookmarkEnd w:id="2"/>
      <w:r>
        <w:t>Executive Summary</w:t>
      </w:r>
    </w:p>
    <w:p w14:paraId="42EC9418" w14:textId="77777777" w:rsidR="000A6D05" w:rsidRDefault="00000000">
      <w:pPr>
        <w:pStyle w:val="Heading3"/>
      </w:pPr>
      <w:bookmarkStart w:id="4" w:name="X46274b3999f6345314742723068c55a055444da"/>
      <w:r>
        <w:t>A New DeFi Primitive: Structured Financing, Not Borrowing</w:t>
      </w:r>
    </w:p>
    <w:p w14:paraId="42EC9419" w14:textId="77777777" w:rsidR="000A6D05" w:rsidRDefault="00000000">
      <w:pPr>
        <w:pStyle w:val="FirstParagraph"/>
      </w:pPr>
      <w:r>
        <w:t>X‑Leverage introduces on‑chain margin financing—the decentralised analogue of prime‑brokerage credit facilities. Participants deposit collateral, receive matched financing at a predetermined LTV and gain amplified exposure to the collateral asset. Each financing position has a fixed maturity, a fixed cost and a deterministic liquidation threshold. Obligations and outcomes are fully known at entry, eliminating interest‑rate risk, refinancing uncertainty and hidden liquidation mechanics.</w:t>
      </w:r>
    </w:p>
    <w:p w14:paraId="42EC941A" w14:textId="77777777" w:rsidR="000A6D05" w:rsidRDefault="00000000">
      <w:pPr>
        <w:pStyle w:val="Heading3"/>
      </w:pPr>
      <w:bookmarkStart w:id="5" w:name="Xf1f7e98cb053fb6e409015bf99567f81e0db6c6"/>
      <w:bookmarkEnd w:id="4"/>
      <w:r>
        <w:t>Deterministic Liquidation and Non‑Custodial Architecture</w:t>
      </w:r>
    </w:p>
    <w:p w14:paraId="42EC941B" w14:textId="77777777" w:rsidR="000A6D05" w:rsidRDefault="00000000">
      <w:pPr>
        <w:pStyle w:val="FirstParagraph"/>
      </w:pPr>
      <w:r>
        <w:t>Collateral is held in program‑derived accounts controlled by smart contracts. The risk engine monitors LTVs each slot using multiple oracle feeds and time‑weighted average pricing (TWAP). Liquidations occur automatically when LTV crosses a pre‑defined threshold. There are:</w:t>
      </w:r>
    </w:p>
    <w:p w14:paraId="42EC941C" w14:textId="77777777" w:rsidR="000A6D05" w:rsidRDefault="00000000">
      <w:pPr>
        <w:pStyle w:val="Compact"/>
        <w:numPr>
          <w:ilvl w:val="0"/>
          <w:numId w:val="2"/>
        </w:numPr>
      </w:pPr>
      <w:r>
        <w:t>No discretionary or hidden liquidations.</w:t>
      </w:r>
    </w:p>
    <w:p w14:paraId="42EC941D" w14:textId="77777777" w:rsidR="000A6D05" w:rsidRDefault="00000000">
      <w:pPr>
        <w:pStyle w:val="Compact"/>
        <w:numPr>
          <w:ilvl w:val="0"/>
          <w:numId w:val="2"/>
        </w:numPr>
      </w:pPr>
      <w:r>
        <w:t>No variable rates or funding costs.</w:t>
      </w:r>
    </w:p>
    <w:p w14:paraId="42EC941E" w14:textId="77777777" w:rsidR="000A6D05" w:rsidRDefault="00000000">
      <w:pPr>
        <w:pStyle w:val="Compact"/>
        <w:numPr>
          <w:ilvl w:val="0"/>
          <w:numId w:val="2"/>
        </w:numPr>
      </w:pPr>
      <w:r>
        <w:t>No auctions or manual intervention.</w:t>
      </w:r>
    </w:p>
    <w:p w14:paraId="42EC941F" w14:textId="77777777" w:rsidR="000A6D05" w:rsidRDefault="00000000">
      <w:pPr>
        <w:pStyle w:val="Compact"/>
        <w:numPr>
          <w:ilvl w:val="0"/>
          <w:numId w:val="2"/>
        </w:numPr>
      </w:pPr>
      <w:r>
        <w:t>Atomic settlement logic that ensures full solvency.</w:t>
      </w:r>
    </w:p>
    <w:p w14:paraId="42EC9420" w14:textId="77777777" w:rsidR="000A6D05" w:rsidRDefault="00000000">
      <w:pPr>
        <w:pStyle w:val="Heading3"/>
      </w:pPr>
      <w:bookmarkStart w:id="6" w:name="institutional-motivation-and-market-fit"/>
      <w:bookmarkEnd w:id="5"/>
      <w:r>
        <w:t>Institutional Motivation and Market Fit</w:t>
      </w:r>
    </w:p>
    <w:p w14:paraId="42EC9421" w14:textId="77777777" w:rsidR="000A6D05" w:rsidRDefault="00000000">
      <w:pPr>
        <w:pStyle w:val="FirstParagraph"/>
      </w:pPr>
      <w:r>
        <w:t>Traditional leverage markets—perpetual futures, spot margin and variable‑rate lending—suffer from unpredictable funding costs, opaque liquidation rules and inconsistent risk management. X‑Leverage addresses these pain points by offering a predictable cost structure, deterministic liquidations and transparent performance waterfalls. It is engineered for professional trading desks, liquidity providers and sophisticated DeFi users who demand clear rules and institutional‑grade risk controls.</w:t>
      </w:r>
    </w:p>
    <w:p w14:paraId="42EC9422" w14:textId="77777777" w:rsidR="000A6D05" w:rsidRDefault="00000000">
      <w:pPr>
        <w:pStyle w:val="Heading3"/>
      </w:pPr>
      <w:bookmarkStart w:id="7" w:name="cofinancing-model-and-dualtoken-design"/>
      <w:bookmarkEnd w:id="6"/>
      <w:r>
        <w:t>Co‑Financing Model and Dual‑Token Design</w:t>
      </w:r>
    </w:p>
    <w:p w14:paraId="42EC9423" w14:textId="77777777" w:rsidR="000A6D05" w:rsidRDefault="00000000">
      <w:pPr>
        <w:pStyle w:val="FirstParagraph"/>
      </w:pPr>
      <w:r>
        <w:t xml:space="preserve">Liquidity providers deposit USDC into an LP vault that finances user positions and earns base and performance yields. The protocol treasury co‑finances up to 50 % of each financing, stabilising utilisation and compounding a portion of its earnings into XRS. X‑Leverage employs two tokens: XGT governs risk parameters and protocol upgrades, </w:t>
      </w:r>
      <w:r>
        <w:lastRenderedPageBreak/>
        <w:t>while XRS receives 100 % of protocol operations revenue. This separation mitigates regulatory risk and aligns incentives between governance and economic participation.</w:t>
      </w:r>
    </w:p>
    <w:p w14:paraId="42EC9424" w14:textId="77777777" w:rsidR="000A6D05" w:rsidRDefault="00000000">
      <w:r>
        <w:pict w14:anchorId="42EC95B3">
          <v:rect id="_x0000_i1025" style="width:0;height:1.5pt" o:hralign="center" o:hrstd="t" o:hr="t"/>
        </w:pict>
      </w:r>
    </w:p>
    <w:p w14:paraId="42EC9425" w14:textId="77777777" w:rsidR="000A6D05" w:rsidRDefault="00000000">
      <w:pPr>
        <w:pStyle w:val="Heading1"/>
      </w:pPr>
      <w:bookmarkStart w:id="8" w:name="market-landscape"/>
      <w:bookmarkEnd w:id="0"/>
      <w:bookmarkEnd w:id="3"/>
      <w:bookmarkEnd w:id="7"/>
      <w:r>
        <w:t>2. Market Landscape</w:t>
      </w:r>
    </w:p>
    <w:p w14:paraId="42EC9426" w14:textId="77777777" w:rsidR="000A6D05" w:rsidRDefault="00000000">
      <w:pPr>
        <w:pStyle w:val="Heading2"/>
      </w:pPr>
      <w:bookmarkStart w:id="9" w:name="global-crypto-leverage-market"/>
      <w:r>
        <w:t>2.1 Global Crypto Leverage Market</w:t>
      </w:r>
    </w:p>
    <w:p w14:paraId="42EC9427" w14:textId="77777777" w:rsidR="000A6D05" w:rsidRDefault="00000000">
      <w:pPr>
        <w:pStyle w:val="FirstParagraph"/>
      </w:pPr>
      <w:r>
        <w:t>Perpetual futures markets regularly sustain open interest between $60 billion and $100 billion, with monthly turnover exceeding $1 trillion. Spot margin venues and bespoke lending arrangements account for tens of billions more. Yet almost all existing leverage is concentrated in centralised exchanges or variable‑rate lending protocols with opaque liquidation engines. A decentralised financing system with deterministic rules could address a total addressable market well into the hundreds of billions.</w:t>
      </w:r>
    </w:p>
    <w:p w14:paraId="42EC9428" w14:textId="77777777" w:rsidR="000A6D05" w:rsidRDefault="00000000">
      <w:pPr>
        <w:pStyle w:val="Heading2"/>
      </w:pPr>
      <w:bookmarkStart w:id="10" w:name="traditional-financing-vs-defi-lending"/>
      <w:bookmarkEnd w:id="9"/>
      <w:r>
        <w:t>2.2 Traditional Financing vs DeFi Lending</w:t>
      </w:r>
    </w:p>
    <w:p w14:paraId="42EC9429" w14:textId="77777777" w:rsidR="000A6D05" w:rsidRDefault="00000000">
      <w:pPr>
        <w:pStyle w:val="FirstParagraph"/>
      </w:pPr>
      <w:r>
        <w:t>In traditional finance, structured financing products—prime‑brokerage margin, repo financing and credit lines secured by liquid assets—share key features: fixed maturity, predetermined cost, transparent liquidation procedures and deterministic waterfall distributions. Hedge funds and market makers rely on these features for predictable leverage and risk management.</w:t>
      </w:r>
    </w:p>
    <w:p w14:paraId="42EC942A" w14:textId="77777777" w:rsidR="000A6D05" w:rsidRDefault="00000000">
      <w:pPr>
        <w:pStyle w:val="BodyText"/>
      </w:pPr>
      <w:r>
        <w:t>By contrast, DeFi lending protocols offer floating‑rate loans with no maturity and interest rates set by utilisation. Borrowers face volatile APRs, unpredictable rate spikes and refinance risk. Perpetual futures rely on funding rates that swing dramatically, and collateralised debt systems (CDPs) depend on auctions that introduce tail‑risk exposures. None of these models provide structured, fixed‑term leverage.</w:t>
      </w:r>
    </w:p>
    <w:p w14:paraId="42EC942B" w14:textId="77777777" w:rsidR="000A6D05" w:rsidRDefault="00000000">
      <w:pPr>
        <w:pStyle w:val="Heading2"/>
      </w:pPr>
      <w:bookmarkStart w:id="11" w:name="market-inefficiencies-addressed"/>
      <w:bookmarkEnd w:id="10"/>
      <w:r>
        <w:t>2.3 Market Inefficiencies Addressed</w:t>
      </w:r>
    </w:p>
    <w:p w14:paraId="42EC942C" w14:textId="77777777" w:rsidR="000A6D05" w:rsidRDefault="00000000">
      <w:pPr>
        <w:pStyle w:val="FirstParagraph"/>
      </w:pPr>
      <w:r>
        <w:t>X‑Leverage targets several inefficiencies in current leverage primitives:</w:t>
      </w:r>
    </w:p>
    <w:p w14:paraId="42EC942D" w14:textId="77777777" w:rsidR="000A6D05" w:rsidRDefault="00000000">
      <w:pPr>
        <w:pStyle w:val="Compact"/>
        <w:numPr>
          <w:ilvl w:val="0"/>
          <w:numId w:val="3"/>
        </w:numPr>
      </w:pPr>
      <w:r>
        <w:rPr>
          <w:b/>
          <w:bCs/>
        </w:rPr>
        <w:t>Funding‑Rate Volatility:</w:t>
      </w:r>
      <w:r>
        <w:t xml:space="preserve"> Perpetual funding can flip from positive to negative within days. Fixed fees eliminate funding‑rate uncertainty.</w:t>
      </w:r>
    </w:p>
    <w:p w14:paraId="42EC942E" w14:textId="77777777" w:rsidR="000A6D05" w:rsidRDefault="00000000">
      <w:pPr>
        <w:pStyle w:val="Compact"/>
        <w:numPr>
          <w:ilvl w:val="0"/>
          <w:numId w:val="3"/>
        </w:numPr>
      </w:pPr>
      <w:r>
        <w:rPr>
          <w:b/>
          <w:bCs/>
        </w:rPr>
        <w:t>Opaque Liquidations:</w:t>
      </w:r>
      <w:r>
        <w:t xml:space="preserve"> Centralised exchanges liquidate positions at undisclosed thresholds; DeFi liquidations vary by auction. X‑Leverage uses explicit LTV triggers and TWAP‑based pricing.</w:t>
      </w:r>
    </w:p>
    <w:p w14:paraId="42EC942F" w14:textId="77777777" w:rsidR="000A6D05" w:rsidRDefault="00000000">
      <w:pPr>
        <w:pStyle w:val="Compact"/>
        <w:numPr>
          <w:ilvl w:val="0"/>
          <w:numId w:val="3"/>
        </w:numPr>
      </w:pPr>
      <w:r>
        <w:rPr>
          <w:b/>
          <w:bCs/>
        </w:rPr>
        <w:t>Insufficient LP Yield:</w:t>
      </w:r>
      <w:r>
        <w:t xml:space="preserve"> Lending markets often yield &lt;10 % to suppliers while borrowers pay &gt;20 %. The performance waterfall shares upside with LPs.</w:t>
      </w:r>
    </w:p>
    <w:p w14:paraId="42EC9430" w14:textId="77777777" w:rsidR="000A6D05" w:rsidRDefault="00000000">
      <w:pPr>
        <w:pStyle w:val="Compact"/>
        <w:numPr>
          <w:ilvl w:val="0"/>
          <w:numId w:val="3"/>
        </w:numPr>
      </w:pPr>
      <w:r>
        <w:rPr>
          <w:b/>
          <w:bCs/>
        </w:rPr>
        <w:t>Absence of Carry Participation:</w:t>
      </w:r>
      <w:r>
        <w:t xml:space="preserve"> Borrowing protocols do not share profits with lenders. X‑Leverage extracts and distributes performance carry.</w:t>
      </w:r>
    </w:p>
    <w:p w14:paraId="42EC9431" w14:textId="77777777" w:rsidR="000A6D05" w:rsidRDefault="00000000">
      <w:pPr>
        <w:pStyle w:val="Compact"/>
        <w:numPr>
          <w:ilvl w:val="0"/>
          <w:numId w:val="3"/>
        </w:numPr>
      </w:pPr>
      <w:r>
        <w:rPr>
          <w:b/>
          <w:bCs/>
        </w:rPr>
        <w:t>Institutional Compatibility:</w:t>
      </w:r>
      <w:r>
        <w:t xml:space="preserve"> Institutions require fixed rules, deterministic outcomes and non‑custodial control. X‑Leverage satisfies these requirements.</w:t>
      </w:r>
    </w:p>
    <w:p w14:paraId="42EC9432" w14:textId="77777777" w:rsidR="000A6D05" w:rsidRDefault="00000000">
      <w:pPr>
        <w:pStyle w:val="Heading2"/>
      </w:pPr>
      <w:bookmarkStart w:id="12" w:name="competitive-landscape-positioning"/>
      <w:bookmarkEnd w:id="11"/>
      <w:r>
        <w:lastRenderedPageBreak/>
        <w:t>2.4 Competitive Landscape &amp; Positioning</w:t>
      </w:r>
    </w:p>
    <w:p w14:paraId="42EC9433" w14:textId="77777777" w:rsidR="000A6D05" w:rsidRDefault="00000000">
      <w:pPr>
        <w:pStyle w:val="FirstParagraph"/>
      </w:pPr>
      <w:r>
        <w:t>Existing leverage primitives fall into four categories:</w:t>
      </w:r>
    </w:p>
    <w:p w14:paraId="42EC9434" w14:textId="77777777" w:rsidR="000A6D05" w:rsidRDefault="00000000">
      <w:pPr>
        <w:pStyle w:val="Compact"/>
        <w:numPr>
          <w:ilvl w:val="0"/>
          <w:numId w:val="4"/>
        </w:numPr>
      </w:pPr>
      <w:r>
        <w:rPr>
          <w:b/>
          <w:bCs/>
        </w:rPr>
        <w:t>Lending Protocols (Aave, Compound, Morpho):</w:t>
      </w:r>
      <w:r>
        <w:t xml:space="preserve"> Floating APR based on utilisation; no defined term; no performance sharing.</w:t>
      </w:r>
    </w:p>
    <w:p w14:paraId="42EC9435" w14:textId="77777777" w:rsidR="000A6D05" w:rsidRDefault="00000000">
      <w:pPr>
        <w:pStyle w:val="Compact"/>
        <w:numPr>
          <w:ilvl w:val="0"/>
          <w:numId w:val="4"/>
        </w:numPr>
      </w:pPr>
      <w:r>
        <w:rPr>
          <w:b/>
          <w:bCs/>
        </w:rPr>
        <w:t>Perpetual Futures (GMX, dYdX, Gains Network):</w:t>
      </w:r>
      <w:r>
        <w:t xml:space="preserve"> Synthetic exposure with variable funding; unclear liquidation rules; reliance on insurance funds.</w:t>
      </w:r>
    </w:p>
    <w:p w14:paraId="42EC9436" w14:textId="77777777" w:rsidR="000A6D05" w:rsidRDefault="00000000">
      <w:pPr>
        <w:pStyle w:val="Compact"/>
        <w:numPr>
          <w:ilvl w:val="0"/>
          <w:numId w:val="4"/>
        </w:numPr>
      </w:pPr>
      <w:r>
        <w:rPr>
          <w:b/>
          <w:bCs/>
        </w:rPr>
        <w:t>Collateralised Debt Systems (MakerDAO, Liquity):</w:t>
      </w:r>
      <w:r>
        <w:t xml:space="preserve"> Minting stablecoins against overcollateralised positions; auctions determine liquidation; no term or carry.</w:t>
      </w:r>
    </w:p>
    <w:p w14:paraId="42EC9437" w14:textId="77777777" w:rsidR="000A6D05" w:rsidRDefault="00000000">
      <w:pPr>
        <w:pStyle w:val="Compact"/>
        <w:numPr>
          <w:ilvl w:val="0"/>
          <w:numId w:val="4"/>
        </w:numPr>
      </w:pPr>
      <w:r>
        <w:rPr>
          <w:b/>
          <w:bCs/>
        </w:rPr>
        <w:t>Options Vaults (Ribbon, Friktion):</w:t>
      </w:r>
      <w:r>
        <w:t xml:space="preserve"> Structured yield, not leverage.</w:t>
      </w:r>
    </w:p>
    <w:p w14:paraId="42EC9438" w14:textId="77777777" w:rsidR="000A6D05" w:rsidRDefault="00000000">
      <w:pPr>
        <w:pStyle w:val="FirstParagraph"/>
      </w:pPr>
      <w:r>
        <w:t>X‑Leverage is the first decentralised financing protocol that offers fixed‑term leverage, deterministic liquidations and performance sharing. Its unique positioning opens a new pillar of DeFi infrastructure.</w:t>
      </w:r>
    </w:p>
    <w:p w14:paraId="42EC9439" w14:textId="77777777" w:rsidR="000A6D05" w:rsidRDefault="00000000">
      <w:pPr>
        <w:pStyle w:val="Heading2"/>
      </w:pPr>
      <w:bookmarkStart w:id="13" w:name="total-addressable-market"/>
      <w:bookmarkEnd w:id="12"/>
      <w:r>
        <w:t>2.5 Total Addressable Market</w:t>
      </w:r>
    </w:p>
    <w:p w14:paraId="42EC943A" w14:textId="77777777" w:rsidR="000A6D05" w:rsidRDefault="00000000">
      <w:pPr>
        <w:pStyle w:val="Compact"/>
        <w:numPr>
          <w:ilvl w:val="0"/>
          <w:numId w:val="5"/>
        </w:numPr>
      </w:pPr>
      <w:r>
        <w:rPr>
          <w:b/>
          <w:bCs/>
        </w:rPr>
        <w:t>Core TAM (On‑Chain Leverage):</w:t>
      </w:r>
      <w:r>
        <w:t xml:space="preserve"> Perpetual futures, spot margin and variable‑rate lending represent $300–500 billion of notional exposure, generating $5–10 billion in annual fees.</w:t>
      </w:r>
    </w:p>
    <w:p w14:paraId="42EC943B" w14:textId="77777777" w:rsidR="000A6D05" w:rsidRDefault="00000000">
      <w:pPr>
        <w:pStyle w:val="Compact"/>
        <w:numPr>
          <w:ilvl w:val="0"/>
          <w:numId w:val="5"/>
        </w:numPr>
      </w:pPr>
      <w:r>
        <w:rPr>
          <w:b/>
          <w:bCs/>
        </w:rPr>
        <w:t>Adjacent TAM (Off‑Chain Financing):</w:t>
      </w:r>
      <w:r>
        <w:t xml:space="preserve"> OTC margin and prime‑brokerage financing add $150–200 billion in potential demand.</w:t>
      </w:r>
    </w:p>
    <w:p w14:paraId="42EC943C" w14:textId="77777777" w:rsidR="000A6D05" w:rsidRDefault="00000000">
      <w:pPr>
        <w:pStyle w:val="Compact"/>
        <w:numPr>
          <w:ilvl w:val="0"/>
          <w:numId w:val="5"/>
        </w:numPr>
      </w:pPr>
      <w:r>
        <w:rPr>
          <w:b/>
          <w:bCs/>
        </w:rPr>
        <w:t>Expanded TAM (Traditional Structured Leverage):</w:t>
      </w:r>
      <w:r>
        <w:t xml:space="preserve"> As tokenised stocks, bonds and real estate proliferate, structured on‑chain financing could support trillions in leverage over the coming decade.</w:t>
      </w:r>
    </w:p>
    <w:p w14:paraId="42EC943D" w14:textId="77777777" w:rsidR="000A6D05" w:rsidRDefault="00000000">
      <w:r>
        <w:pict w14:anchorId="42EC95B4">
          <v:rect id="_x0000_i1026" style="width:0;height:1.5pt" o:hralign="center" o:hrstd="t" o:hr="t"/>
        </w:pict>
      </w:r>
    </w:p>
    <w:p w14:paraId="42EC943E" w14:textId="77777777" w:rsidR="000A6D05" w:rsidRDefault="00000000">
      <w:pPr>
        <w:pStyle w:val="Heading1"/>
      </w:pPr>
      <w:bookmarkStart w:id="14" w:name="conceptual-framework"/>
      <w:bookmarkEnd w:id="8"/>
      <w:bookmarkEnd w:id="13"/>
      <w:r>
        <w:t>3. Conceptual Framework</w:t>
      </w:r>
    </w:p>
    <w:p w14:paraId="42EC943F" w14:textId="77777777" w:rsidR="000A6D05" w:rsidRDefault="00000000">
      <w:pPr>
        <w:pStyle w:val="Heading2"/>
      </w:pPr>
      <w:bookmarkStart w:id="15" w:name="financing-vs-borrowing"/>
      <w:r>
        <w:t>3.1 Financing vs Borrowing</w:t>
      </w:r>
    </w:p>
    <w:p w14:paraId="42EC9440" w14:textId="77777777" w:rsidR="000A6D05" w:rsidRDefault="00000000">
      <w:pPr>
        <w:pStyle w:val="FirstParagraph"/>
      </w:pPr>
      <w:r>
        <w:t>Borrowing creates open‑ended debt at variable rates. APR fluctuates with utilisation and continues to accrue until repaid, exposing borrowers to rate shocks and liquidity crunches. Financing, by contrast, is a fixed‑term arrangement: the protocol finances an asset purchase for a defined period, with obligations fixed at inception. There is no accruing interest, no variable APR and no need to refinance. Users know exactly what they will owe at settlement.</w:t>
      </w:r>
    </w:p>
    <w:p w14:paraId="42EC9441" w14:textId="77777777" w:rsidR="000A6D05" w:rsidRDefault="00000000">
      <w:pPr>
        <w:pStyle w:val="Heading2"/>
      </w:pPr>
      <w:bookmarkStart w:id="16" w:name="X123163af7bb03800868aadfd8036433f6d8d17e"/>
      <w:bookmarkEnd w:id="15"/>
      <w:r>
        <w:t>3.2 Why Financing Creates Better Risk Profiles</w:t>
      </w:r>
    </w:p>
    <w:p w14:paraId="42EC9442" w14:textId="77777777" w:rsidR="000A6D05" w:rsidRDefault="00000000">
      <w:pPr>
        <w:pStyle w:val="FirstParagraph"/>
      </w:pPr>
      <w:r>
        <w:t>Structured financing eliminates several risks inherent in borrowing:</w:t>
      </w:r>
    </w:p>
    <w:p w14:paraId="42EC9443" w14:textId="77777777" w:rsidR="000A6D05" w:rsidRDefault="00000000">
      <w:pPr>
        <w:pStyle w:val="Compact"/>
        <w:numPr>
          <w:ilvl w:val="0"/>
          <w:numId w:val="6"/>
        </w:numPr>
      </w:pPr>
      <w:r>
        <w:rPr>
          <w:b/>
          <w:bCs/>
        </w:rPr>
        <w:t>Predictable Costs:</w:t>
      </w:r>
      <w:r>
        <w:t xml:space="preserve"> Fees are fixed upfront; there is no funding‑rate or interest‑rate volatility.</w:t>
      </w:r>
    </w:p>
    <w:p w14:paraId="42EC9444" w14:textId="77777777" w:rsidR="000A6D05" w:rsidRDefault="00000000">
      <w:pPr>
        <w:pStyle w:val="Compact"/>
        <w:numPr>
          <w:ilvl w:val="0"/>
          <w:numId w:val="6"/>
        </w:numPr>
      </w:pPr>
      <w:r>
        <w:rPr>
          <w:b/>
          <w:bCs/>
        </w:rPr>
        <w:t>Zero Borrower Insolvency:</w:t>
      </w:r>
      <w:r>
        <w:t xml:space="preserve"> Obligations are fully collateralised; users can never owe more than their collateral can cover.</w:t>
      </w:r>
    </w:p>
    <w:p w14:paraId="42EC9445" w14:textId="77777777" w:rsidR="000A6D05" w:rsidRDefault="00000000">
      <w:pPr>
        <w:pStyle w:val="Compact"/>
        <w:numPr>
          <w:ilvl w:val="0"/>
          <w:numId w:val="6"/>
        </w:numPr>
      </w:pPr>
      <w:r>
        <w:rPr>
          <w:b/>
          <w:bCs/>
        </w:rPr>
        <w:lastRenderedPageBreak/>
        <w:t>Deterministic Liquidation:</w:t>
      </w:r>
      <w:r>
        <w:t xml:space="preserve"> LTV thresholds are the sole liquidation trigger; outcomes do not depend on utilisation or funding rates.</w:t>
      </w:r>
    </w:p>
    <w:p w14:paraId="42EC9446" w14:textId="77777777" w:rsidR="000A6D05" w:rsidRDefault="00000000">
      <w:pPr>
        <w:pStyle w:val="Compact"/>
        <w:numPr>
          <w:ilvl w:val="0"/>
          <w:numId w:val="6"/>
        </w:numPr>
      </w:pPr>
      <w:r>
        <w:rPr>
          <w:b/>
          <w:bCs/>
        </w:rPr>
        <w:t>Carry Enablement:</w:t>
      </w:r>
      <w:r>
        <w:t xml:space="preserve"> Structured financing permits extraction and sharing of performance profits; borrowing systems cannot share upside with lenders.</w:t>
      </w:r>
    </w:p>
    <w:p w14:paraId="42EC9447" w14:textId="77777777" w:rsidR="000A6D05" w:rsidRDefault="00000000">
      <w:pPr>
        <w:pStyle w:val="Heading2"/>
      </w:pPr>
      <w:bookmarkStart w:id="17" w:name="why-structured-financing-is-rare-in-defi"/>
      <w:bookmarkEnd w:id="16"/>
      <w:r>
        <w:t>3.3 Why Structured Financing Is Rare in DeFi</w:t>
      </w:r>
    </w:p>
    <w:p w14:paraId="42EC9448" w14:textId="77777777" w:rsidR="000A6D05" w:rsidRDefault="00000000">
      <w:pPr>
        <w:pStyle w:val="FirstParagraph"/>
      </w:pPr>
      <w:r>
        <w:t>DeFi has been built on lending and perpetual derivatives. Structured financing was absent because it requires:</w:t>
      </w:r>
    </w:p>
    <w:p w14:paraId="42EC9449" w14:textId="77777777" w:rsidR="000A6D05" w:rsidRDefault="00000000">
      <w:pPr>
        <w:pStyle w:val="Compact"/>
        <w:numPr>
          <w:ilvl w:val="0"/>
          <w:numId w:val="7"/>
        </w:numPr>
      </w:pPr>
      <w:r>
        <w:t>Fixed‑term smart contracts.</w:t>
      </w:r>
    </w:p>
    <w:p w14:paraId="42EC944A" w14:textId="77777777" w:rsidR="000A6D05" w:rsidRDefault="00000000">
      <w:pPr>
        <w:pStyle w:val="Compact"/>
        <w:numPr>
          <w:ilvl w:val="0"/>
          <w:numId w:val="7"/>
        </w:numPr>
      </w:pPr>
      <w:r>
        <w:t>Deterministic liquidation logic.</w:t>
      </w:r>
    </w:p>
    <w:p w14:paraId="42EC944B" w14:textId="77777777" w:rsidR="000A6D05" w:rsidRDefault="00000000">
      <w:pPr>
        <w:pStyle w:val="Compact"/>
        <w:numPr>
          <w:ilvl w:val="0"/>
          <w:numId w:val="7"/>
        </w:numPr>
      </w:pPr>
      <w:r>
        <w:t>Sophisticated cash‑flow waterfalls.</w:t>
      </w:r>
    </w:p>
    <w:p w14:paraId="42EC944C" w14:textId="77777777" w:rsidR="000A6D05" w:rsidRDefault="00000000">
      <w:pPr>
        <w:pStyle w:val="Compact"/>
        <w:numPr>
          <w:ilvl w:val="0"/>
          <w:numId w:val="7"/>
        </w:numPr>
      </w:pPr>
      <w:r>
        <w:t>Robust oracle and risk systems beyond those used for variable‑rate lending.</w:t>
      </w:r>
    </w:p>
    <w:p w14:paraId="42EC944D" w14:textId="77777777" w:rsidR="000A6D05" w:rsidRDefault="00000000">
      <w:pPr>
        <w:pStyle w:val="FirstParagraph"/>
      </w:pPr>
      <w:r>
        <w:t>X‑Leverage integrates these components for the first time to deliver institutional‑grade financing on‑chain.</w:t>
      </w:r>
    </w:p>
    <w:p w14:paraId="42EC944E" w14:textId="77777777" w:rsidR="000A6D05" w:rsidRDefault="00000000">
      <w:pPr>
        <w:pStyle w:val="Heading2"/>
      </w:pPr>
      <w:bookmarkStart w:id="18" w:name="financing-lifecycle"/>
      <w:bookmarkEnd w:id="17"/>
      <w:r>
        <w:t>3.4 Financing Lifecycle</w:t>
      </w:r>
    </w:p>
    <w:p w14:paraId="42EC944F" w14:textId="77777777" w:rsidR="000A6D05" w:rsidRDefault="00000000">
      <w:pPr>
        <w:pStyle w:val="FirstParagraph"/>
      </w:pPr>
      <w:r>
        <w:t>Each financing position passes through six deterministic stages:</w:t>
      </w:r>
    </w:p>
    <w:p w14:paraId="42EC9450" w14:textId="77777777" w:rsidR="000A6D05" w:rsidRDefault="00000000">
      <w:pPr>
        <w:pStyle w:val="Compact"/>
        <w:numPr>
          <w:ilvl w:val="0"/>
          <w:numId w:val="8"/>
        </w:numPr>
      </w:pPr>
      <w:r>
        <w:rPr>
          <w:b/>
          <w:bCs/>
        </w:rPr>
        <w:t>Collateral Deposit:</w:t>
      </w:r>
      <w:r>
        <w:t xml:space="preserve"> The user deposits BTC, ETH, SOL or XNT. The collateral value determines the maximum financing amount via the LTV model.</w:t>
      </w:r>
    </w:p>
    <w:p w14:paraId="42EC9451" w14:textId="77777777" w:rsidR="000A6D05" w:rsidRDefault="00000000">
      <w:pPr>
        <w:pStyle w:val="Compact"/>
        <w:numPr>
          <w:ilvl w:val="0"/>
          <w:numId w:val="8"/>
        </w:numPr>
      </w:pPr>
      <w:r>
        <w:rPr>
          <w:b/>
          <w:bCs/>
        </w:rPr>
        <w:t>Financing Allocation:</w:t>
      </w:r>
      <w:r>
        <w:t xml:space="preserve"> LP and treasury capital finance the remaining exposure to achieve the target LTV.</w:t>
      </w:r>
    </w:p>
    <w:p w14:paraId="42EC9452" w14:textId="77777777" w:rsidR="000A6D05" w:rsidRDefault="00000000">
      <w:pPr>
        <w:pStyle w:val="Compact"/>
        <w:numPr>
          <w:ilvl w:val="0"/>
          <w:numId w:val="8"/>
        </w:numPr>
      </w:pPr>
      <w:r>
        <w:rPr>
          <w:b/>
          <w:bCs/>
        </w:rPr>
        <w:t>LTV Monitoring:</w:t>
      </w:r>
      <w:r>
        <w:t xml:space="preserve"> A risk engine monitors LTV each slot using multi‑oracle TWAP data.</w:t>
      </w:r>
    </w:p>
    <w:p w14:paraId="42EC9453" w14:textId="77777777" w:rsidR="000A6D05" w:rsidRDefault="00000000">
      <w:pPr>
        <w:pStyle w:val="Compact"/>
        <w:numPr>
          <w:ilvl w:val="0"/>
          <w:numId w:val="8"/>
        </w:numPr>
      </w:pPr>
      <w:r>
        <w:rPr>
          <w:b/>
          <w:bCs/>
        </w:rPr>
        <w:t>Forced Liquidation:</w:t>
      </w:r>
      <w:r>
        <w:t xml:space="preserve"> If LTV crosses the liquidation threshold, the Liquidation Engine sells the asset at a frozen oracle price and settles obligations.</w:t>
      </w:r>
    </w:p>
    <w:p w14:paraId="42EC9454" w14:textId="77777777" w:rsidR="000A6D05" w:rsidRDefault="00000000">
      <w:pPr>
        <w:pStyle w:val="Compact"/>
        <w:numPr>
          <w:ilvl w:val="0"/>
          <w:numId w:val="8"/>
        </w:numPr>
      </w:pPr>
      <w:r>
        <w:rPr>
          <w:b/>
          <w:bCs/>
        </w:rPr>
        <w:t>Maturity Settlement:</w:t>
      </w:r>
      <w:r>
        <w:t xml:space="preserve"> If the term expires without liquidation, the user chooses to either (a) repay obligations in USDC and retain the asset or (b) liquidate the position and receive residual value. Carry applies only to profitable positions with terms ≥30 days.</w:t>
      </w:r>
    </w:p>
    <w:p w14:paraId="42EC9455" w14:textId="77777777" w:rsidR="000A6D05" w:rsidRDefault="00000000">
      <w:pPr>
        <w:pStyle w:val="Compact"/>
        <w:numPr>
          <w:ilvl w:val="0"/>
          <w:numId w:val="8"/>
        </w:numPr>
      </w:pPr>
      <w:r>
        <w:rPr>
          <w:b/>
          <w:bCs/>
        </w:rPr>
        <w:t>Position Closure:</w:t>
      </w:r>
      <w:r>
        <w:t xml:space="preserve"> Funds are distributed according to the waterfall, the FinancingState is closed and delegated authorities are revoked.</w:t>
      </w:r>
    </w:p>
    <w:p w14:paraId="42EC9456" w14:textId="77777777" w:rsidR="000A6D05" w:rsidRDefault="00000000">
      <w:pPr>
        <w:pStyle w:val="Heading2"/>
      </w:pPr>
      <w:bookmarkStart w:id="19" w:name="structural-overview"/>
      <w:bookmarkEnd w:id="18"/>
      <w:r>
        <w:t>3.5 Structural Overview</w:t>
      </w:r>
    </w:p>
    <w:p w14:paraId="42EC9457" w14:textId="77777777" w:rsidR="000A6D05" w:rsidRDefault="00000000">
      <w:pPr>
        <w:pStyle w:val="SourceCode"/>
      </w:pPr>
      <w:r>
        <w:rPr>
          <w:rStyle w:val="VerbatimChar"/>
        </w:rPr>
        <w:t>User Collateral</w:t>
      </w:r>
      <w:r>
        <w:br/>
      </w:r>
      <w:r>
        <w:rPr>
          <w:rStyle w:val="VerbatimChar"/>
        </w:rPr>
        <w:t xml:space="preserve">      |</w:t>
      </w:r>
      <w:r>
        <w:br/>
      </w:r>
      <w:r>
        <w:rPr>
          <w:rStyle w:val="VerbatimChar"/>
        </w:rPr>
        <w:t xml:space="preserve">      v</w:t>
      </w:r>
      <w:r>
        <w:br/>
      </w:r>
      <w:r>
        <w:rPr>
          <w:rStyle w:val="VerbatimChar"/>
        </w:rPr>
        <w:t>[ Financing Engine ]</w:t>
      </w:r>
      <w:r>
        <w:br/>
      </w:r>
      <w:r>
        <w:rPr>
          <w:rStyle w:val="VerbatimChar"/>
        </w:rPr>
        <w:t xml:space="preserve">      |</w:t>
      </w:r>
      <w:r>
        <w:br/>
      </w:r>
      <w:r>
        <w:rPr>
          <w:rStyle w:val="VerbatimChar"/>
        </w:rPr>
        <w:t xml:space="preserve">      v</w:t>
      </w:r>
      <w:r>
        <w:br/>
      </w:r>
      <w:r>
        <w:rPr>
          <w:rStyle w:val="VerbatimChar"/>
        </w:rPr>
        <w:t>Real‑Time LTV Monitoring</w:t>
      </w:r>
      <w:r>
        <w:br/>
      </w:r>
      <w:r>
        <w:rPr>
          <w:rStyle w:val="VerbatimChar"/>
        </w:rPr>
        <w:t xml:space="preserve">      |</w:t>
      </w:r>
      <w:r>
        <w:br/>
      </w:r>
      <w:r>
        <w:rPr>
          <w:rStyle w:val="VerbatimChar"/>
        </w:rPr>
        <w:t xml:space="preserve">  +---+---------------+</w:t>
      </w:r>
      <w:r>
        <w:br/>
      </w:r>
      <w:r>
        <w:rPr>
          <w:rStyle w:val="VerbatimChar"/>
        </w:rPr>
        <w:lastRenderedPageBreak/>
        <w:t xml:space="preserve">  |                   |</w:t>
      </w:r>
      <w:r>
        <w:br/>
      </w:r>
      <w:r>
        <w:rPr>
          <w:rStyle w:val="VerbatimChar"/>
        </w:rPr>
        <w:t xml:space="preserve">  v                   v</w:t>
      </w:r>
      <w:r>
        <w:br/>
      </w:r>
      <w:r>
        <w:rPr>
          <w:rStyle w:val="VerbatimChar"/>
        </w:rPr>
        <w:t>Maturity Settlement   Forced Liquidation</w:t>
      </w:r>
    </w:p>
    <w:p w14:paraId="42EC9458" w14:textId="77777777" w:rsidR="000A6D05" w:rsidRDefault="00000000">
      <w:pPr>
        <w:pStyle w:val="FirstParagraph"/>
      </w:pPr>
      <w:r>
        <w:t>This diagram underscores that collateral flows along a single deterministic path, branching only upon maturity or liquidation.</w:t>
      </w:r>
    </w:p>
    <w:p w14:paraId="42EC9459" w14:textId="77777777" w:rsidR="000A6D05" w:rsidRDefault="00000000">
      <w:r>
        <w:pict w14:anchorId="42EC95B5">
          <v:rect id="_x0000_i1027" style="width:0;height:1.5pt" o:hralign="center" o:hrstd="t" o:hr="t"/>
        </w:pict>
      </w:r>
    </w:p>
    <w:p w14:paraId="42EC945A" w14:textId="77777777" w:rsidR="000A6D05" w:rsidRDefault="00000000">
      <w:pPr>
        <w:pStyle w:val="Heading1"/>
      </w:pPr>
      <w:bookmarkStart w:id="20" w:name="protocol-architecture"/>
      <w:bookmarkEnd w:id="14"/>
      <w:bookmarkEnd w:id="19"/>
      <w:r>
        <w:t>4. Protocol Architecture</w:t>
      </w:r>
    </w:p>
    <w:p w14:paraId="42EC945B" w14:textId="77777777" w:rsidR="000A6D05" w:rsidRDefault="00000000">
      <w:pPr>
        <w:pStyle w:val="Heading2"/>
      </w:pPr>
      <w:bookmarkStart w:id="21" w:name="system-overview"/>
      <w:r>
        <w:t>4.1 System Overview</w:t>
      </w:r>
    </w:p>
    <w:p w14:paraId="42EC945C" w14:textId="77777777" w:rsidR="000A6D05" w:rsidRDefault="00000000">
      <w:pPr>
        <w:pStyle w:val="FirstParagraph"/>
      </w:pPr>
      <w:r>
        <w:t>X‑Leverage comprises six on‑chain programs:</w:t>
      </w:r>
    </w:p>
    <w:p w14:paraId="42EC945D" w14:textId="77777777" w:rsidR="000A6D05" w:rsidRDefault="00000000">
      <w:pPr>
        <w:pStyle w:val="Compact"/>
        <w:numPr>
          <w:ilvl w:val="0"/>
          <w:numId w:val="9"/>
        </w:numPr>
      </w:pPr>
      <w:r>
        <w:rPr>
          <w:b/>
          <w:bCs/>
        </w:rPr>
        <w:t>Financing Engine:</w:t>
      </w:r>
      <w:r>
        <w:t xml:space="preserve"> Creates positions, stores state and computes obligations.</w:t>
      </w:r>
    </w:p>
    <w:p w14:paraId="42EC945E" w14:textId="77777777" w:rsidR="000A6D05" w:rsidRDefault="00000000">
      <w:pPr>
        <w:pStyle w:val="Compact"/>
        <w:numPr>
          <w:ilvl w:val="0"/>
          <w:numId w:val="9"/>
        </w:numPr>
      </w:pPr>
      <w:r>
        <w:rPr>
          <w:b/>
          <w:bCs/>
        </w:rPr>
        <w:t>Liquidation Engine:</w:t>
      </w:r>
      <w:r>
        <w:t xml:space="preserve"> Monitors risk, triggers liquidations and executes settlements.</w:t>
      </w:r>
    </w:p>
    <w:p w14:paraId="42EC945F" w14:textId="77777777" w:rsidR="000A6D05" w:rsidRDefault="00000000">
      <w:pPr>
        <w:pStyle w:val="Compact"/>
        <w:numPr>
          <w:ilvl w:val="0"/>
          <w:numId w:val="9"/>
        </w:numPr>
      </w:pPr>
      <w:r>
        <w:rPr>
          <w:b/>
          <w:bCs/>
        </w:rPr>
        <w:t>LP Vault:</w:t>
      </w:r>
      <w:r>
        <w:t xml:space="preserve"> Handles USDC deposits, issues shares and allocates capital to financings.</w:t>
      </w:r>
    </w:p>
    <w:p w14:paraId="42EC9460" w14:textId="77777777" w:rsidR="000A6D05" w:rsidRDefault="00000000">
      <w:pPr>
        <w:pStyle w:val="Compact"/>
        <w:numPr>
          <w:ilvl w:val="0"/>
          <w:numId w:val="9"/>
        </w:numPr>
      </w:pPr>
      <w:r>
        <w:rPr>
          <w:b/>
          <w:bCs/>
        </w:rPr>
        <w:t>Treasury Engine:</w:t>
      </w:r>
      <w:r>
        <w:t xml:space="preserve"> Co‑finances positions, compounds earnings and holds reserves.</w:t>
      </w:r>
    </w:p>
    <w:p w14:paraId="42EC9461" w14:textId="77777777" w:rsidR="000A6D05" w:rsidRDefault="00000000">
      <w:pPr>
        <w:pStyle w:val="Compact"/>
        <w:numPr>
          <w:ilvl w:val="0"/>
          <w:numId w:val="9"/>
        </w:numPr>
      </w:pPr>
      <w:r>
        <w:rPr>
          <w:b/>
          <w:bCs/>
        </w:rPr>
        <w:t>Oracle Framework:</w:t>
      </w:r>
      <w:r>
        <w:t xml:space="preserve"> Provides multi‑feed, TWAP‑filtered price data with validation and failover logic.</w:t>
      </w:r>
    </w:p>
    <w:p w14:paraId="42EC9462" w14:textId="77777777" w:rsidR="000A6D05" w:rsidRDefault="00000000">
      <w:pPr>
        <w:pStyle w:val="Compact"/>
        <w:numPr>
          <w:ilvl w:val="0"/>
          <w:numId w:val="9"/>
        </w:numPr>
      </w:pPr>
      <w:r>
        <w:rPr>
          <w:b/>
          <w:bCs/>
        </w:rPr>
        <w:t>Governance Layer:</w:t>
      </w:r>
      <w:r>
        <w:t xml:space="preserve"> Implements XGT voting, parameter changes and upgrade logic.</w:t>
      </w:r>
    </w:p>
    <w:p w14:paraId="42EC9463" w14:textId="77777777" w:rsidR="000A6D05" w:rsidRDefault="00000000">
      <w:pPr>
        <w:pStyle w:val="Heading3"/>
      </w:pPr>
      <w:bookmarkStart w:id="22" w:name="financing-engine"/>
      <w:r>
        <w:t>4.2 Financing Engine</w:t>
      </w:r>
    </w:p>
    <w:p w14:paraId="42EC9464" w14:textId="77777777" w:rsidR="000A6D05" w:rsidRDefault="00000000">
      <w:pPr>
        <w:pStyle w:val="FirstParagraph"/>
      </w:pPr>
      <w:r>
        <w:t>Each position is stored in a program‑derived account containing user address, collateral amount, financing amount, LTV, fee schedule, term timestamps, liquidation threshold, oracle references and delegated authorities.</w:t>
      </w:r>
    </w:p>
    <w:p w14:paraId="42EC9465" w14:textId="77777777" w:rsidR="000A6D05" w:rsidRDefault="00000000">
      <w:pPr>
        <w:pStyle w:val="BodyText"/>
      </w:pPr>
      <w:r>
        <w:rPr>
          <w:b/>
          <w:bCs/>
        </w:rPr>
        <w:t>Initialization:</w:t>
      </w:r>
      <w:r>
        <w:t xml:space="preserve"> On creation, the protocol ensures that the term is supported, the initial LTV is below the asset’s MaxLTV, fee schedules match protocol tables, oracle feeds are valid and users have pre‑approved settlement and liquidation authorities. If any condition fails, the transaction reverts.</w:t>
      </w:r>
    </w:p>
    <w:p w14:paraId="42EC9466" w14:textId="77777777" w:rsidR="000A6D05" w:rsidRDefault="00000000">
      <w:pPr>
        <w:pStyle w:val="BodyText"/>
      </w:pPr>
      <w:r>
        <w:rPr>
          <w:b/>
          <w:bCs/>
        </w:rPr>
        <w:t>Financing Amount Formula:</w:t>
      </w:r>
      <w:r>
        <w:t xml:space="preserve"> For collateral value (C) and MaxLTV (m), financing (F) satisfies:</w:t>
      </w:r>
    </w:p>
    <w:p w14:paraId="42EC9467" w14:textId="77777777" w:rsidR="000A6D05" w:rsidRDefault="00000000">
      <w:pPr>
        <w:pStyle w:val="CaptionedFigure"/>
      </w:pPr>
      <w:r>
        <w:rPr>
          <w:noProof/>
        </w:rPr>
        <w:drawing>
          <wp:inline distT="0" distB="0" distL="0" distR="0" wp14:anchorId="42EC95B6" wp14:editId="42EC95B7">
            <wp:extent cx="5137765" cy="1006145"/>
            <wp:effectExtent l="0" t="0" r="0" b="0"/>
            <wp:docPr id="44" name="Picture" descr="Financing formula"/>
            <wp:cNvGraphicFramePr/>
            <a:graphic xmlns:a="http://schemas.openxmlformats.org/drawingml/2006/main">
              <a:graphicData uri="http://schemas.openxmlformats.org/drawingml/2006/picture">
                <pic:pic xmlns:pic="http://schemas.openxmlformats.org/drawingml/2006/picture">
                  <pic:nvPicPr>
                    <pic:cNvPr id="45" name="Picture" descr="formula1.png"/>
                    <pic:cNvPicPr>
                      <a:picLocks noChangeAspect="1" noChangeArrowheads="1"/>
                    </pic:cNvPicPr>
                  </pic:nvPicPr>
                  <pic:blipFill>
                    <a:blip r:embed="rId9"/>
                    <a:stretch>
                      <a:fillRect/>
                    </a:stretch>
                  </pic:blipFill>
                  <pic:spPr bwMode="auto">
                    <a:xfrm>
                      <a:off x="0" y="0"/>
                      <a:ext cx="5137765" cy="1006145"/>
                    </a:xfrm>
                    <a:prstGeom prst="rect">
                      <a:avLst/>
                    </a:prstGeom>
                    <a:noFill/>
                    <a:ln w="9525">
                      <a:noFill/>
                      <a:headEnd/>
                      <a:tailEnd/>
                    </a:ln>
                  </pic:spPr>
                </pic:pic>
              </a:graphicData>
            </a:graphic>
          </wp:inline>
        </w:drawing>
      </w:r>
    </w:p>
    <w:p w14:paraId="42EC9468" w14:textId="77777777" w:rsidR="000A6D05" w:rsidRDefault="00000000">
      <w:pPr>
        <w:pStyle w:val="ImageCaption"/>
      </w:pPr>
      <w:r>
        <w:t>Financing formula</w:t>
      </w:r>
    </w:p>
    <w:p w14:paraId="42EC9469" w14:textId="77777777" w:rsidR="000A6D05" w:rsidRDefault="00000000">
      <w:pPr>
        <w:pStyle w:val="BodyText"/>
      </w:pPr>
      <w:r>
        <w:t>At (m = 0.5), (F = C); at (m = 0.55), (F  C).</w:t>
      </w:r>
    </w:p>
    <w:p w14:paraId="42EC946A" w14:textId="77777777" w:rsidR="000A6D05" w:rsidRDefault="00000000">
      <w:pPr>
        <w:pStyle w:val="BodyText"/>
      </w:pPr>
      <w:r>
        <w:rPr>
          <w:b/>
          <w:bCs/>
        </w:rPr>
        <w:lastRenderedPageBreak/>
        <w:t>Fee Encoding:</w:t>
      </w:r>
      <w:r>
        <w:t xml:space="preserve"> Fees are constant percentages of (F) and do not accrue over time. Terms ≥30 days enable carry sharing and feature lower base fees.</w:t>
      </w:r>
    </w:p>
    <w:p w14:paraId="42EC946B" w14:textId="77777777" w:rsidR="000A6D05" w:rsidRDefault="00000000">
      <w:pPr>
        <w:pStyle w:val="BodyText"/>
      </w:pPr>
      <w:r>
        <w:rPr>
          <w:b/>
          <w:bCs/>
        </w:rPr>
        <w:t>Settlement Paths:</w:t>
      </w:r>
    </w:p>
    <w:p w14:paraId="42EC946C" w14:textId="77777777" w:rsidR="000A6D05" w:rsidRDefault="00000000">
      <w:pPr>
        <w:pStyle w:val="Compact"/>
        <w:numPr>
          <w:ilvl w:val="0"/>
          <w:numId w:val="10"/>
        </w:numPr>
      </w:pPr>
      <w:r>
        <w:rPr>
          <w:b/>
          <w:bCs/>
        </w:rPr>
        <w:t>Normal Maturity:</w:t>
      </w:r>
      <w:r>
        <w:t xml:space="preserve"> At or after maturity, if LTV &lt; threshold, users may liquidate the asset or repay obligations in USDC. If the position is profitable and carry is enabled, the performance waterfall applies.</w:t>
      </w:r>
    </w:p>
    <w:p w14:paraId="42EC946D" w14:textId="77777777" w:rsidR="000A6D05" w:rsidRDefault="00000000">
      <w:pPr>
        <w:pStyle w:val="Compact"/>
        <w:numPr>
          <w:ilvl w:val="0"/>
          <w:numId w:val="10"/>
        </w:numPr>
      </w:pPr>
      <w:r>
        <w:rPr>
          <w:b/>
          <w:bCs/>
        </w:rPr>
        <w:t>Forced Liquidation:</w:t>
      </w:r>
      <w:r>
        <w:t xml:space="preserve"> If LTV ≥ threshold, the Liquidation Engine sells the asset, pays obligations and returns any residual; carry is disabled.</w:t>
      </w:r>
    </w:p>
    <w:p w14:paraId="42EC946E" w14:textId="77777777" w:rsidR="000A6D05" w:rsidRDefault="00000000">
      <w:pPr>
        <w:pStyle w:val="FirstParagraph"/>
      </w:pPr>
      <w:r>
        <w:rPr>
          <w:b/>
          <w:bCs/>
        </w:rPr>
        <w:t>Safety Invariants:</w:t>
      </w:r>
    </w:p>
    <w:p w14:paraId="42EC946F" w14:textId="77777777" w:rsidR="000A6D05" w:rsidRDefault="00000000">
      <w:pPr>
        <w:pStyle w:val="Compact"/>
        <w:numPr>
          <w:ilvl w:val="0"/>
          <w:numId w:val="11"/>
        </w:numPr>
      </w:pPr>
      <w:r>
        <w:t>Collateral always covers obligations until settlement; no rehypothecation.</w:t>
      </w:r>
    </w:p>
    <w:p w14:paraId="42EC9470" w14:textId="77777777" w:rsidR="000A6D05" w:rsidRDefault="00000000">
      <w:pPr>
        <w:pStyle w:val="Compact"/>
        <w:numPr>
          <w:ilvl w:val="0"/>
          <w:numId w:val="11"/>
        </w:numPr>
      </w:pPr>
      <w:r>
        <w:t>Financing cannot be used as collateral for another financing.</w:t>
      </w:r>
    </w:p>
    <w:p w14:paraId="42EC9471" w14:textId="77777777" w:rsidR="000A6D05" w:rsidRDefault="00000000">
      <w:pPr>
        <w:pStyle w:val="Compact"/>
        <w:numPr>
          <w:ilvl w:val="0"/>
          <w:numId w:val="11"/>
        </w:numPr>
      </w:pPr>
      <w:r>
        <w:t>Positions are single‑asset; cross‑asset collateralisation is prohibited.</w:t>
      </w:r>
    </w:p>
    <w:p w14:paraId="42EC9472" w14:textId="77777777" w:rsidR="000A6D05" w:rsidRDefault="00000000">
      <w:pPr>
        <w:pStyle w:val="Compact"/>
        <w:numPr>
          <w:ilvl w:val="0"/>
          <w:numId w:val="11"/>
        </w:numPr>
      </w:pPr>
      <w:r>
        <w:t>Settlement flows are atomic.</w:t>
      </w:r>
    </w:p>
    <w:p w14:paraId="42EC9473" w14:textId="77777777" w:rsidR="000A6D05" w:rsidRDefault="00000000">
      <w:pPr>
        <w:pStyle w:val="Heading3"/>
      </w:pPr>
      <w:bookmarkStart w:id="23" w:name="liquidation-engine"/>
      <w:bookmarkEnd w:id="22"/>
      <w:r>
        <w:t>4.3 Liquidation Engine</w:t>
      </w:r>
    </w:p>
    <w:p w14:paraId="42EC9474" w14:textId="77777777" w:rsidR="000A6D05" w:rsidRDefault="00000000">
      <w:pPr>
        <w:pStyle w:val="FirstParagraph"/>
      </w:pPr>
      <w:r>
        <w:t>The Liquidation Engine ensures solvency through deterministic triggers:</w:t>
      </w:r>
    </w:p>
    <w:p w14:paraId="42EC9475" w14:textId="77777777" w:rsidR="000A6D05" w:rsidRDefault="00000000">
      <w:pPr>
        <w:pStyle w:val="Compact"/>
        <w:numPr>
          <w:ilvl w:val="0"/>
          <w:numId w:val="12"/>
        </w:numPr>
      </w:pPr>
      <w:r>
        <w:rPr>
          <w:b/>
          <w:bCs/>
        </w:rPr>
        <w:t>Philosophy:</w:t>
      </w:r>
      <w:r>
        <w:t xml:space="preserve"> Liquidations depend solely on LTV; no actor can delay or accelerate them. Collateral always exceeds obligations until settlement; any shortfall becomes controlled bad debt shared pro‑rata across LPs and treasury.</w:t>
      </w:r>
    </w:p>
    <w:p w14:paraId="42EC9476" w14:textId="77777777" w:rsidR="000A6D05" w:rsidRDefault="00000000">
      <w:pPr>
        <w:pStyle w:val="Compact"/>
        <w:numPr>
          <w:ilvl w:val="0"/>
          <w:numId w:val="12"/>
        </w:numPr>
      </w:pPr>
      <w:r>
        <w:rPr>
          <w:b/>
          <w:bCs/>
        </w:rPr>
        <w:t>Trigger Logic:</w:t>
      </w:r>
      <w:r>
        <w:t xml:space="preserve"> For obligations (O(t)) and collateral value (C(t)), liquidation occurs when (LTV(t) LTV_{}). Asset‑specific liquidation thresholds (e.g. 70 % for BTC, 72 % for ETH) may adjust for volatility.</w:t>
      </w:r>
    </w:p>
    <w:p w14:paraId="42EC9477" w14:textId="77777777" w:rsidR="000A6D05" w:rsidRDefault="00000000">
      <w:pPr>
        <w:pStyle w:val="Compact"/>
        <w:numPr>
          <w:ilvl w:val="0"/>
          <w:numId w:val="12"/>
        </w:numPr>
      </w:pPr>
      <w:r>
        <w:rPr>
          <w:b/>
          <w:bCs/>
        </w:rPr>
        <w:t>Pipeline:</w:t>
      </w:r>
      <w:r>
        <w:t xml:space="preserve"> (1) Lock oracle prices from multiple feeds, (2) sell collateral into USDC via DEX aggregators subject to slippage limits, (3) settle obligations and deduct the 3 % liquidation fee, (4) distribute residual to the user, (5) close the position.</w:t>
      </w:r>
    </w:p>
    <w:p w14:paraId="42EC9478" w14:textId="77777777" w:rsidR="000A6D05" w:rsidRDefault="00000000">
      <w:pPr>
        <w:pStyle w:val="Compact"/>
        <w:numPr>
          <w:ilvl w:val="0"/>
          <w:numId w:val="12"/>
        </w:numPr>
      </w:pPr>
      <w:r>
        <w:rPr>
          <w:b/>
          <w:bCs/>
        </w:rPr>
        <w:t>Invariants:</w:t>
      </w:r>
      <w:r>
        <w:t xml:space="preserve"> A position can be liquidated only once; triggers are deterministic; the 3 % fee is charged only during forced liquidations.</w:t>
      </w:r>
    </w:p>
    <w:p w14:paraId="42EC9479" w14:textId="77777777" w:rsidR="000A6D05" w:rsidRDefault="00000000">
      <w:pPr>
        <w:pStyle w:val="Heading3"/>
      </w:pPr>
      <w:bookmarkStart w:id="24" w:name="lp-vault"/>
      <w:bookmarkEnd w:id="23"/>
      <w:r>
        <w:t>4.4 LP Vault</w:t>
      </w:r>
    </w:p>
    <w:p w14:paraId="42EC947A" w14:textId="77777777" w:rsidR="000A6D05" w:rsidRDefault="00000000">
      <w:pPr>
        <w:pStyle w:val="FirstParagraph"/>
      </w:pPr>
      <w:r>
        <w:t>The LP vault aggregates USDC, mints shares representing pro‑rata ownership and allocates capital to financing positions.</w:t>
      </w:r>
    </w:p>
    <w:p w14:paraId="42EC947B" w14:textId="77777777" w:rsidR="000A6D05" w:rsidRDefault="00000000">
      <w:pPr>
        <w:pStyle w:val="BodyText"/>
      </w:pPr>
      <w:r>
        <w:rPr>
          <w:b/>
          <w:bCs/>
        </w:rPr>
        <w:t>Principles:</w:t>
      </w:r>
    </w:p>
    <w:p w14:paraId="42EC947C" w14:textId="77777777" w:rsidR="000A6D05" w:rsidRDefault="00000000">
      <w:pPr>
        <w:pStyle w:val="Compact"/>
        <w:numPr>
          <w:ilvl w:val="0"/>
          <w:numId w:val="13"/>
        </w:numPr>
      </w:pPr>
      <w:r>
        <w:t>LP funds remain isolated from user collateral, operations revenue and treasury reserves.</w:t>
      </w:r>
    </w:p>
    <w:p w14:paraId="42EC947D" w14:textId="77777777" w:rsidR="000A6D05" w:rsidRDefault="00000000">
      <w:pPr>
        <w:pStyle w:val="Compact"/>
        <w:numPr>
          <w:ilvl w:val="0"/>
          <w:numId w:val="13"/>
        </w:numPr>
      </w:pPr>
      <w:r>
        <w:t>Share accounting uses continuous net asset value (NAV); deposits mint shares = deposit ÷ share price; withdrawals burn shares × share price.</w:t>
      </w:r>
    </w:p>
    <w:p w14:paraId="42EC947E" w14:textId="77777777" w:rsidR="000A6D05" w:rsidRDefault="00000000">
      <w:pPr>
        <w:pStyle w:val="Compact"/>
        <w:numPr>
          <w:ilvl w:val="0"/>
          <w:numId w:val="13"/>
        </w:numPr>
      </w:pPr>
      <w:r>
        <w:t>LPs earn base fee yield and performance yield strictly according to their share count.</w:t>
      </w:r>
    </w:p>
    <w:p w14:paraId="42EC947F" w14:textId="77777777" w:rsidR="000A6D05" w:rsidRDefault="00000000">
      <w:pPr>
        <w:pStyle w:val="Compact"/>
        <w:numPr>
          <w:ilvl w:val="0"/>
          <w:numId w:val="13"/>
        </w:numPr>
      </w:pPr>
      <w:r>
        <w:lastRenderedPageBreak/>
        <w:t>Because positions are over‑collateralised and liquidations deterministic, LPs do not face borrower default risk.</w:t>
      </w:r>
    </w:p>
    <w:p w14:paraId="42EC9480" w14:textId="77777777" w:rsidR="000A6D05" w:rsidRDefault="00000000">
      <w:pPr>
        <w:pStyle w:val="FirstParagraph"/>
      </w:pPr>
      <w:r>
        <w:rPr>
          <w:b/>
          <w:bCs/>
        </w:rPr>
        <w:t>Capital Allocation:</w:t>
      </w:r>
      <w:r>
        <w:t xml:space="preserve"> The vault finances positions up to a target utilisation. The treasury fills up to 50 % of each financing thereafter. Excess demand is queued until capital is available.</w:t>
      </w:r>
    </w:p>
    <w:p w14:paraId="42EC9481" w14:textId="77777777" w:rsidR="000A6D05" w:rsidRDefault="00000000">
      <w:pPr>
        <w:pStyle w:val="BodyText"/>
      </w:pPr>
      <w:r>
        <w:rPr>
          <w:b/>
          <w:bCs/>
        </w:rPr>
        <w:t>Revenue Streams:</w:t>
      </w:r>
      <w:r>
        <w:t xml:space="preserve"> LPs earn (a) their share of term fees based on utilisation, (b) 16 % of user excess profits from carry‑enabled financings and (c) potential idle‑capital yield via approved low‑risk strategies.</w:t>
      </w:r>
    </w:p>
    <w:p w14:paraId="42EC9482" w14:textId="77777777" w:rsidR="000A6D05" w:rsidRDefault="00000000">
      <w:pPr>
        <w:pStyle w:val="Heading3"/>
      </w:pPr>
      <w:bookmarkStart w:id="25" w:name="treasury-engine"/>
      <w:bookmarkEnd w:id="24"/>
      <w:r>
        <w:t>4.5 Treasury Engine</w:t>
      </w:r>
    </w:p>
    <w:p w14:paraId="42EC9483" w14:textId="77777777" w:rsidR="000A6D05" w:rsidRDefault="00000000">
      <w:pPr>
        <w:pStyle w:val="FirstParagraph"/>
      </w:pPr>
      <w:r>
        <w:t>The treasury is a co‑financing participant, not a revenue sink. Its capital supplements LP liquidity to ensure consistent financing supply.</w:t>
      </w:r>
    </w:p>
    <w:p w14:paraId="42EC9484" w14:textId="77777777" w:rsidR="000A6D05" w:rsidRDefault="00000000">
      <w:pPr>
        <w:pStyle w:val="Compact"/>
        <w:numPr>
          <w:ilvl w:val="0"/>
          <w:numId w:val="14"/>
        </w:numPr>
      </w:pPr>
      <w:r>
        <w:rPr>
          <w:b/>
          <w:bCs/>
        </w:rPr>
        <w:t>Co‑Financing:</w:t>
      </w:r>
      <w:r>
        <w:t xml:space="preserve"> The treasury finances up to half of each position after LP capital is allocated.</w:t>
      </w:r>
    </w:p>
    <w:p w14:paraId="42EC9485" w14:textId="77777777" w:rsidR="000A6D05" w:rsidRDefault="00000000">
      <w:pPr>
        <w:pStyle w:val="Compact"/>
        <w:numPr>
          <w:ilvl w:val="0"/>
          <w:numId w:val="14"/>
        </w:numPr>
      </w:pPr>
      <w:r>
        <w:rPr>
          <w:b/>
          <w:bCs/>
        </w:rPr>
        <w:t>Revenue:</w:t>
      </w:r>
      <w:r>
        <w:t xml:space="preserve"> It earns base fees and performance share proportional to its contribution and stakes some of its earnings into XRS to align long‑term incentives.</w:t>
      </w:r>
    </w:p>
    <w:p w14:paraId="42EC9486" w14:textId="77777777" w:rsidR="000A6D05" w:rsidRDefault="00000000">
      <w:pPr>
        <w:pStyle w:val="Compact"/>
        <w:numPr>
          <w:ilvl w:val="0"/>
          <w:numId w:val="14"/>
        </w:numPr>
      </w:pPr>
      <w:r>
        <w:rPr>
          <w:b/>
          <w:bCs/>
        </w:rPr>
        <w:t>Compounding Rule:</w:t>
      </w:r>
      <w:r>
        <w:t xml:space="preserve"> Each epoch, 30 % of treasury profits are converted to XRS and staked for 12–36 months; 70 % remain as USDC for operations, development, audits and contingency reserves.</w:t>
      </w:r>
    </w:p>
    <w:p w14:paraId="42EC9487" w14:textId="77777777" w:rsidR="000A6D05" w:rsidRDefault="00000000">
      <w:pPr>
        <w:pStyle w:val="Compact"/>
        <w:numPr>
          <w:ilvl w:val="0"/>
          <w:numId w:val="14"/>
        </w:numPr>
      </w:pPr>
      <w:r>
        <w:rPr>
          <w:b/>
          <w:bCs/>
        </w:rPr>
        <w:t>Symmetry:</w:t>
      </w:r>
      <w:r>
        <w:t xml:space="preserve"> The treasury follows the same rules as LPs; it cannot override allocation logic, modify risk parameters or withdraw capital early.</w:t>
      </w:r>
    </w:p>
    <w:p w14:paraId="42EC9488" w14:textId="77777777" w:rsidR="000A6D05" w:rsidRDefault="00000000">
      <w:pPr>
        <w:pStyle w:val="Compact"/>
        <w:numPr>
          <w:ilvl w:val="0"/>
          <w:numId w:val="14"/>
        </w:numPr>
      </w:pPr>
      <w:r>
        <w:rPr>
          <w:b/>
          <w:bCs/>
        </w:rPr>
        <w:t>Strategic Role:</w:t>
      </w:r>
      <w:r>
        <w:t xml:space="preserve"> Short‑term, it stabilises liquidity; long‑term, its compounding into XRS grows its stake and governance weight alongside protocol success.</w:t>
      </w:r>
    </w:p>
    <w:p w14:paraId="42EC9489" w14:textId="77777777" w:rsidR="000A6D05" w:rsidRDefault="00000000">
      <w:pPr>
        <w:pStyle w:val="Heading3"/>
      </w:pPr>
      <w:bookmarkStart w:id="26" w:name="oracle-framework"/>
      <w:bookmarkEnd w:id="25"/>
      <w:r>
        <w:t>4.6 Oracle Framework</w:t>
      </w:r>
    </w:p>
    <w:p w14:paraId="42EC948A" w14:textId="77777777" w:rsidR="000A6D05" w:rsidRDefault="00000000">
      <w:pPr>
        <w:pStyle w:val="FirstParagraph"/>
      </w:pPr>
      <w:r>
        <w:t>Accurate pricing is critical for LTV calculations. The oracle framework uses multiple feeds (Pyth, Switchboard and a synthetic TWAP) with cross‑checks and volatility filters:</w:t>
      </w:r>
    </w:p>
    <w:p w14:paraId="42EC948B" w14:textId="77777777" w:rsidR="000A6D05" w:rsidRDefault="00000000">
      <w:pPr>
        <w:pStyle w:val="Compact"/>
        <w:numPr>
          <w:ilvl w:val="0"/>
          <w:numId w:val="15"/>
        </w:numPr>
      </w:pPr>
      <w:r>
        <w:rPr>
          <w:b/>
          <w:bCs/>
        </w:rPr>
        <w:t>Validation:</w:t>
      </w:r>
      <w:r>
        <w:t xml:space="preserve"> All feeds must agree within a tolerance; high‑volatility updates are gated; confidence intervals must be tight. A 30–90 second TWAP smooths noise.</w:t>
      </w:r>
    </w:p>
    <w:p w14:paraId="42EC948C" w14:textId="77777777" w:rsidR="000A6D05" w:rsidRDefault="00000000">
      <w:pPr>
        <w:pStyle w:val="Compact"/>
        <w:numPr>
          <w:ilvl w:val="0"/>
          <w:numId w:val="15"/>
        </w:numPr>
      </w:pPr>
      <w:r>
        <w:rPr>
          <w:b/>
          <w:bCs/>
        </w:rPr>
        <w:t>Integration:</w:t>
      </w:r>
      <w:r>
        <w:t xml:space="preserve"> The risk engine reads the validated price each slot, computes TWAP, updates LTV and triggers liquidation when thresholds are breached.</w:t>
      </w:r>
    </w:p>
    <w:p w14:paraId="42EC948D" w14:textId="77777777" w:rsidR="000A6D05" w:rsidRDefault="00000000">
      <w:pPr>
        <w:pStyle w:val="Compact"/>
        <w:numPr>
          <w:ilvl w:val="0"/>
          <w:numId w:val="15"/>
        </w:numPr>
      </w:pPr>
      <w:r>
        <w:rPr>
          <w:b/>
          <w:bCs/>
        </w:rPr>
        <w:t>Failover:</w:t>
      </w:r>
      <w:r>
        <w:t xml:space="preserve"> If Pyth fails, Switchboard is used; if both fail, a synthetic feed enters caution mode, pausing liquidations. If all feeds fail, financing and settlement are halted pending governance intervention.</w:t>
      </w:r>
    </w:p>
    <w:p w14:paraId="42EC948E" w14:textId="77777777" w:rsidR="000A6D05" w:rsidRDefault="00000000">
      <w:pPr>
        <w:pStyle w:val="Compact"/>
        <w:numPr>
          <w:ilvl w:val="0"/>
          <w:numId w:val="15"/>
        </w:numPr>
      </w:pPr>
      <w:r>
        <w:rPr>
          <w:b/>
          <w:bCs/>
        </w:rPr>
        <w:t>Institutional Requirements:</w:t>
      </w:r>
      <w:r>
        <w:t xml:space="preserve"> Multi‑oracle architecture, volatility gating and freeze‑on‑liquidation snapshots provide price integrity suitable for professional desks.</w:t>
      </w:r>
    </w:p>
    <w:p w14:paraId="42EC948F" w14:textId="77777777" w:rsidR="000A6D05" w:rsidRDefault="00000000">
      <w:pPr>
        <w:pStyle w:val="Heading3"/>
      </w:pPr>
      <w:bookmarkStart w:id="27" w:name="settlement-engine"/>
      <w:bookmarkEnd w:id="26"/>
      <w:r>
        <w:t>4.7 Settlement Engine</w:t>
      </w:r>
    </w:p>
    <w:p w14:paraId="42EC9490" w14:textId="77777777" w:rsidR="000A6D05" w:rsidRDefault="00000000">
      <w:pPr>
        <w:pStyle w:val="FirstParagraph"/>
      </w:pPr>
      <w:r>
        <w:t>At maturity, if a position has not been liquidated, the Settlement Engine deterministically processes closure:</w:t>
      </w:r>
    </w:p>
    <w:p w14:paraId="42EC9491" w14:textId="77777777" w:rsidR="000A6D05" w:rsidRDefault="00000000">
      <w:pPr>
        <w:pStyle w:val="Compact"/>
        <w:numPr>
          <w:ilvl w:val="0"/>
          <w:numId w:val="16"/>
        </w:numPr>
      </w:pPr>
      <w:r>
        <w:rPr>
          <w:b/>
          <w:bCs/>
        </w:rPr>
        <w:lastRenderedPageBreak/>
        <w:t>Scenarios:</w:t>
      </w:r>
      <w:r>
        <w:t xml:space="preserve"> (1) Full liquidation at maturity (sell asset, repay obligations, apply carry), (2) partial repayment in USDC with asset retention, (3) USDC repayment when collateral and financed asset are identical.</w:t>
      </w:r>
    </w:p>
    <w:p w14:paraId="42EC9492" w14:textId="77777777" w:rsidR="000A6D05" w:rsidRDefault="00000000">
      <w:pPr>
        <w:pStyle w:val="Compact"/>
        <w:numPr>
          <w:ilvl w:val="0"/>
          <w:numId w:val="16"/>
        </w:numPr>
      </w:pPr>
      <w:r>
        <w:rPr>
          <w:b/>
          <w:bCs/>
        </w:rPr>
        <w:t>Execution:</w:t>
      </w:r>
      <w:r>
        <w:t xml:space="preserve"> Settlement computes obligations (principal + fee + carry), processes the user’s chosen mode and distributes residual according to the waterfall. Settlement is atomic; carry is calculated once; after closure the position cannot be reopened.</w:t>
      </w:r>
    </w:p>
    <w:p w14:paraId="42EC9493" w14:textId="77777777" w:rsidR="000A6D05" w:rsidRDefault="00000000">
      <w:r>
        <w:pict w14:anchorId="42EC95B8">
          <v:rect id="_x0000_i1028" style="width:0;height:1.5pt" o:hralign="center" o:hrstd="t" o:hr="t"/>
        </w:pict>
      </w:r>
    </w:p>
    <w:p w14:paraId="42EC9494" w14:textId="77777777" w:rsidR="000A6D05" w:rsidRDefault="00000000">
      <w:pPr>
        <w:pStyle w:val="Heading1"/>
      </w:pPr>
      <w:bookmarkStart w:id="28" w:name="security-architecture"/>
      <w:bookmarkEnd w:id="20"/>
      <w:bookmarkEnd w:id="21"/>
      <w:bookmarkEnd w:id="27"/>
      <w:r>
        <w:t>5. Security Architecture</w:t>
      </w:r>
    </w:p>
    <w:p w14:paraId="42EC9495" w14:textId="77777777" w:rsidR="000A6D05" w:rsidRDefault="00000000">
      <w:pPr>
        <w:pStyle w:val="Heading2"/>
      </w:pPr>
      <w:bookmarkStart w:id="29" w:name="zerotrust-design"/>
      <w:r>
        <w:t>5.1 Zero‑Trust Design</w:t>
      </w:r>
    </w:p>
    <w:p w14:paraId="42EC9496" w14:textId="77777777" w:rsidR="000A6D05" w:rsidRDefault="00000000">
      <w:pPr>
        <w:pStyle w:val="FirstParagraph"/>
      </w:pPr>
      <w:r>
        <w:t>Security is paramount. X‑Leverage employs a zero‑trust architecture on Solana/X1:</w:t>
      </w:r>
    </w:p>
    <w:p w14:paraId="42EC9497" w14:textId="77777777" w:rsidR="000A6D05" w:rsidRDefault="00000000">
      <w:pPr>
        <w:pStyle w:val="Compact"/>
        <w:numPr>
          <w:ilvl w:val="0"/>
          <w:numId w:val="17"/>
        </w:numPr>
      </w:pPr>
      <w:r>
        <w:t>Each module has its own program‑derived address (PDA) with isolated state; PDAs cannot mutate each other.</w:t>
      </w:r>
    </w:p>
    <w:p w14:paraId="42EC9498" w14:textId="77777777" w:rsidR="000A6D05" w:rsidRDefault="00000000">
      <w:pPr>
        <w:pStyle w:val="Compact"/>
        <w:numPr>
          <w:ilvl w:val="0"/>
          <w:numId w:val="17"/>
        </w:numPr>
      </w:pPr>
      <w:r>
        <w:t>Users delegate settlement and liquidation authority at initiation; these cannot be revoked until closure.</w:t>
      </w:r>
    </w:p>
    <w:p w14:paraId="42EC9499" w14:textId="77777777" w:rsidR="000A6D05" w:rsidRDefault="00000000">
      <w:pPr>
        <w:pStyle w:val="Compact"/>
        <w:numPr>
          <w:ilvl w:val="0"/>
          <w:numId w:val="17"/>
        </w:numPr>
      </w:pPr>
      <w:r>
        <w:t>Programs use Borsh serialization, fixed account sizes, rent exemption and compute‑unit limits to prevent memory corruption, unbounded data growth and denial‑of‑service.</w:t>
      </w:r>
    </w:p>
    <w:p w14:paraId="42EC949A" w14:textId="77777777" w:rsidR="000A6D05" w:rsidRDefault="00000000">
      <w:pPr>
        <w:pStyle w:val="Compact"/>
        <w:numPr>
          <w:ilvl w:val="0"/>
          <w:numId w:val="17"/>
        </w:numPr>
      </w:pPr>
      <w:r>
        <w:t>Solana’s atomic transaction model prohibits re‑entrancy; each operation is single‑step and deterministic.</w:t>
      </w:r>
    </w:p>
    <w:p w14:paraId="42EC949B" w14:textId="77777777" w:rsidR="000A6D05" w:rsidRDefault="00000000">
      <w:pPr>
        <w:pStyle w:val="Heading2"/>
      </w:pPr>
      <w:bookmarkStart w:id="30" w:name="upgradeability-framework"/>
      <w:bookmarkEnd w:id="29"/>
      <w:r>
        <w:t>5.2 Upgradeability Framework</w:t>
      </w:r>
    </w:p>
    <w:p w14:paraId="42EC949C" w14:textId="77777777" w:rsidR="000A6D05" w:rsidRDefault="00000000">
      <w:pPr>
        <w:pStyle w:val="FirstParagraph"/>
      </w:pPr>
      <w:r>
        <w:t>Core modules can be upgraded only via XGT governance. Proposals require discussion, on‑chain voting and supermajority approval. Timelocks allow users to exit positions before changes take effect. Governance may opt to permanently freeze mature modules to lock in invariants.</w:t>
      </w:r>
    </w:p>
    <w:p w14:paraId="42EC949D" w14:textId="77777777" w:rsidR="000A6D05" w:rsidRDefault="00000000">
      <w:pPr>
        <w:pStyle w:val="Heading2"/>
      </w:pPr>
      <w:bookmarkStart w:id="31" w:name="security-invariants"/>
      <w:bookmarkEnd w:id="30"/>
      <w:r>
        <w:t>5.3 Security Invariants</w:t>
      </w:r>
    </w:p>
    <w:p w14:paraId="42EC949E" w14:textId="77777777" w:rsidR="000A6D05" w:rsidRDefault="00000000">
      <w:pPr>
        <w:pStyle w:val="Compact"/>
        <w:numPr>
          <w:ilvl w:val="0"/>
          <w:numId w:val="18"/>
        </w:numPr>
      </w:pPr>
      <w:r>
        <w:rPr>
          <w:b/>
          <w:bCs/>
        </w:rPr>
        <w:t>No Unbacked Obligations:</w:t>
      </w:r>
      <w:r>
        <w:t xml:space="preserve"> Collateral value always covers obligations until settlement.</w:t>
      </w:r>
    </w:p>
    <w:p w14:paraId="42EC949F" w14:textId="77777777" w:rsidR="000A6D05" w:rsidRDefault="00000000">
      <w:pPr>
        <w:pStyle w:val="Compact"/>
        <w:numPr>
          <w:ilvl w:val="0"/>
          <w:numId w:val="18"/>
        </w:numPr>
      </w:pPr>
      <w:r>
        <w:rPr>
          <w:b/>
          <w:bCs/>
        </w:rPr>
        <w:t>No Unauthorised Fund Movement:</w:t>
      </w:r>
      <w:r>
        <w:t xml:space="preserve"> Only designated PDAs can move user or LP funds within defined contexts.</w:t>
      </w:r>
    </w:p>
    <w:p w14:paraId="42EC94A0" w14:textId="77777777" w:rsidR="000A6D05" w:rsidRDefault="00000000">
      <w:pPr>
        <w:pStyle w:val="Compact"/>
        <w:numPr>
          <w:ilvl w:val="0"/>
          <w:numId w:val="18"/>
        </w:numPr>
      </w:pPr>
      <w:r>
        <w:rPr>
          <w:b/>
          <w:bCs/>
        </w:rPr>
        <w:t>PDA Isolation:</w:t>
      </w:r>
      <w:r>
        <w:t xml:space="preserve"> Modules cannot call or mutate each other’s state, preventing cross‑contract exploits.</w:t>
      </w:r>
    </w:p>
    <w:p w14:paraId="42EC94A1" w14:textId="77777777" w:rsidR="000A6D05" w:rsidRDefault="00000000">
      <w:pPr>
        <w:pStyle w:val="Compact"/>
        <w:numPr>
          <w:ilvl w:val="0"/>
          <w:numId w:val="18"/>
        </w:numPr>
      </w:pPr>
      <w:r>
        <w:rPr>
          <w:b/>
          <w:bCs/>
        </w:rPr>
        <w:t>Deterministic Liquidation:</w:t>
      </w:r>
      <w:r>
        <w:t xml:space="preserve"> Only LTV triggers cause liquidations; no manual overrides exist.</w:t>
      </w:r>
    </w:p>
    <w:p w14:paraId="42EC94A2" w14:textId="77777777" w:rsidR="000A6D05" w:rsidRDefault="00000000">
      <w:pPr>
        <w:pStyle w:val="Compact"/>
        <w:numPr>
          <w:ilvl w:val="0"/>
          <w:numId w:val="18"/>
        </w:numPr>
      </w:pPr>
      <w:r>
        <w:rPr>
          <w:b/>
          <w:bCs/>
        </w:rPr>
        <w:t>Atomic Settlement:</w:t>
      </w:r>
      <w:r>
        <w:t xml:space="preserve"> Closure is executed in a single transaction; partial settlement is impossible.</w:t>
      </w:r>
    </w:p>
    <w:p w14:paraId="42EC94A3" w14:textId="77777777" w:rsidR="000A6D05" w:rsidRDefault="00000000">
      <w:pPr>
        <w:pStyle w:val="Compact"/>
        <w:numPr>
          <w:ilvl w:val="0"/>
          <w:numId w:val="18"/>
        </w:numPr>
      </w:pPr>
      <w:r>
        <w:rPr>
          <w:b/>
          <w:bCs/>
        </w:rPr>
        <w:t>Revenue Separation:</w:t>
      </w:r>
      <w:r>
        <w:t xml:space="preserve"> Operations revenue flows exclusively to XRS stakers; it cannot be diverted without a governance vote.</w:t>
      </w:r>
    </w:p>
    <w:p w14:paraId="42EC94A4" w14:textId="77777777" w:rsidR="000A6D05" w:rsidRDefault="00000000">
      <w:pPr>
        <w:pStyle w:val="Heading2"/>
      </w:pPr>
      <w:bookmarkStart w:id="32" w:name="attack-surface-mitigations"/>
      <w:bookmarkEnd w:id="31"/>
      <w:r>
        <w:lastRenderedPageBreak/>
        <w:t>5.4 Attack Surface &amp; Mitigations</w:t>
      </w:r>
    </w:p>
    <w:p w14:paraId="42EC94A5" w14:textId="77777777" w:rsidR="000A6D05" w:rsidRDefault="00000000">
      <w:pPr>
        <w:pStyle w:val="Compact"/>
        <w:numPr>
          <w:ilvl w:val="0"/>
          <w:numId w:val="19"/>
        </w:numPr>
      </w:pPr>
      <w:r>
        <w:rPr>
          <w:b/>
          <w:bCs/>
        </w:rPr>
        <w:t>MEV Exploits:</w:t>
      </w:r>
      <w:r>
        <w:t xml:space="preserve"> Liquidation uses frozen oracle snapshots and TWAP pricing, preventing front‑running and sandwiching.</w:t>
      </w:r>
    </w:p>
    <w:p w14:paraId="42EC94A6" w14:textId="77777777" w:rsidR="000A6D05" w:rsidRDefault="00000000">
      <w:pPr>
        <w:pStyle w:val="Compact"/>
        <w:numPr>
          <w:ilvl w:val="0"/>
          <w:numId w:val="19"/>
        </w:numPr>
      </w:pPr>
      <w:r>
        <w:rPr>
          <w:b/>
          <w:bCs/>
        </w:rPr>
        <w:t>Oracle Manipulation:</w:t>
      </w:r>
      <w:r>
        <w:t xml:space="preserve"> Multi‑oracle agreement, volatility guards, confidence gating and fallback logic mitigate price spoofing and flash attacks.</w:t>
      </w:r>
    </w:p>
    <w:p w14:paraId="42EC94A7" w14:textId="77777777" w:rsidR="000A6D05" w:rsidRDefault="00000000">
      <w:pPr>
        <w:pStyle w:val="Compact"/>
        <w:numPr>
          <w:ilvl w:val="0"/>
          <w:numId w:val="19"/>
        </w:numPr>
      </w:pPr>
      <w:r>
        <w:rPr>
          <w:b/>
          <w:bCs/>
        </w:rPr>
        <w:t>Race Conditions:</w:t>
      </w:r>
      <w:r>
        <w:t xml:space="preserve"> Liquidation and settlement are single transactions; positions are frozen upon liquidation initiation.</w:t>
      </w:r>
    </w:p>
    <w:p w14:paraId="42EC94A8" w14:textId="77777777" w:rsidR="000A6D05" w:rsidRDefault="00000000">
      <w:pPr>
        <w:pStyle w:val="Compact"/>
        <w:numPr>
          <w:ilvl w:val="0"/>
          <w:numId w:val="19"/>
        </w:numPr>
      </w:pPr>
      <w:r>
        <w:rPr>
          <w:b/>
          <w:bCs/>
        </w:rPr>
        <w:t>Governance Attacks:</w:t>
      </w:r>
      <w:r>
        <w:t xml:space="preserve"> Bonding requirements, quorum thresholds, soft vetoes and timelocks deter malicious proposals. Core modules can be frozen to prevent takeover.</w:t>
      </w:r>
    </w:p>
    <w:p w14:paraId="42EC94A9" w14:textId="77777777" w:rsidR="000A6D05" w:rsidRDefault="00000000">
      <w:pPr>
        <w:pStyle w:val="Compact"/>
        <w:numPr>
          <w:ilvl w:val="0"/>
          <w:numId w:val="19"/>
        </w:numPr>
      </w:pPr>
      <w:r>
        <w:rPr>
          <w:b/>
          <w:bCs/>
        </w:rPr>
        <w:t>Treasury Abuse:</w:t>
      </w:r>
      <w:r>
        <w:t xml:space="preserve"> The treasury cannot alter risk parameters or compounding rules; changes require governance.</w:t>
      </w:r>
    </w:p>
    <w:p w14:paraId="42EC94AA" w14:textId="77777777" w:rsidR="000A6D05" w:rsidRDefault="00000000">
      <w:r>
        <w:pict w14:anchorId="42EC95B9">
          <v:rect id="_x0000_i1029" style="width:0;height:1.5pt" o:hralign="center" o:hrstd="t" o:hr="t"/>
        </w:pict>
      </w:r>
    </w:p>
    <w:p w14:paraId="42EC94AB" w14:textId="77777777" w:rsidR="000A6D05" w:rsidRDefault="00000000">
      <w:pPr>
        <w:pStyle w:val="Heading1"/>
      </w:pPr>
      <w:bookmarkStart w:id="33" w:name="risk-architecture"/>
      <w:bookmarkEnd w:id="28"/>
      <w:bookmarkEnd w:id="32"/>
      <w:r>
        <w:t>6. Risk Architecture</w:t>
      </w:r>
    </w:p>
    <w:p w14:paraId="42EC94AC" w14:textId="77777777" w:rsidR="000A6D05" w:rsidRDefault="00000000">
      <w:pPr>
        <w:pStyle w:val="Heading2"/>
      </w:pPr>
      <w:bookmarkStart w:id="34" w:name="ltv-model"/>
      <w:r>
        <w:t>6.1 LTV Model</w:t>
      </w:r>
    </w:p>
    <w:p w14:paraId="42EC94AD" w14:textId="77777777" w:rsidR="000A6D05" w:rsidRDefault="00000000">
      <w:pPr>
        <w:pStyle w:val="FirstParagraph"/>
      </w:pPr>
      <w:r>
        <w:t>Loan‑to‑value ratio at time (t) is defined as:</w:t>
      </w:r>
    </w:p>
    <w:p w14:paraId="42EC94AE" w14:textId="77777777" w:rsidR="000A6D05" w:rsidRDefault="00000000">
      <w:pPr>
        <w:pStyle w:val="CaptionedFigure"/>
      </w:pPr>
      <w:r>
        <w:rPr>
          <w:noProof/>
        </w:rPr>
        <w:drawing>
          <wp:inline distT="0" distB="0" distL="0" distR="0" wp14:anchorId="42EC95BA" wp14:editId="42EC95BB">
            <wp:extent cx="5137765" cy="1006145"/>
            <wp:effectExtent l="0" t="0" r="0" b="0"/>
            <wp:docPr id="60" name="Picture" descr="LTV formula"/>
            <wp:cNvGraphicFramePr/>
            <a:graphic xmlns:a="http://schemas.openxmlformats.org/drawingml/2006/main">
              <a:graphicData uri="http://schemas.openxmlformats.org/drawingml/2006/picture">
                <pic:pic xmlns:pic="http://schemas.openxmlformats.org/drawingml/2006/picture">
                  <pic:nvPicPr>
                    <pic:cNvPr id="61" name="Picture" descr="formula2.png"/>
                    <pic:cNvPicPr>
                      <a:picLocks noChangeAspect="1" noChangeArrowheads="1"/>
                    </pic:cNvPicPr>
                  </pic:nvPicPr>
                  <pic:blipFill>
                    <a:blip r:embed="rId10"/>
                    <a:stretch>
                      <a:fillRect/>
                    </a:stretch>
                  </pic:blipFill>
                  <pic:spPr bwMode="auto">
                    <a:xfrm>
                      <a:off x="0" y="0"/>
                      <a:ext cx="5137765" cy="1006145"/>
                    </a:xfrm>
                    <a:prstGeom prst="rect">
                      <a:avLst/>
                    </a:prstGeom>
                    <a:noFill/>
                    <a:ln w="9525">
                      <a:noFill/>
                      <a:headEnd/>
                      <a:tailEnd/>
                    </a:ln>
                  </pic:spPr>
                </pic:pic>
              </a:graphicData>
            </a:graphic>
          </wp:inline>
        </w:drawing>
      </w:r>
    </w:p>
    <w:p w14:paraId="42EC94AF" w14:textId="77777777" w:rsidR="000A6D05" w:rsidRDefault="00000000">
      <w:pPr>
        <w:pStyle w:val="ImageCaption"/>
      </w:pPr>
      <w:r>
        <w:t>LTV formula</w:t>
      </w:r>
    </w:p>
    <w:p w14:paraId="42EC94B0" w14:textId="77777777" w:rsidR="000A6D05" w:rsidRDefault="00000000">
      <w:pPr>
        <w:pStyle w:val="BodyText"/>
      </w:pPr>
      <w:r>
        <w:t>where (O(t)) is the sum of financing principal and unpaid term fee, and (C(t)) is collateral amount multiplied by TWAP price.</w:t>
      </w:r>
    </w:p>
    <w:p w14:paraId="42EC94B1" w14:textId="77777777" w:rsidR="000A6D05" w:rsidRDefault="00000000">
      <w:pPr>
        <w:pStyle w:val="Heading2"/>
      </w:pPr>
      <w:bookmarkStart w:id="35" w:name="maximum-ltvs"/>
      <w:bookmarkEnd w:id="34"/>
      <w:r>
        <w:t>6.2 Maximum LTVs</w:t>
      </w:r>
    </w:p>
    <w:p w14:paraId="42EC94B2" w14:textId="77777777" w:rsidR="000A6D05" w:rsidRDefault="00000000">
      <w:pPr>
        <w:pStyle w:val="FirstParagraph"/>
      </w:pPr>
      <w:r>
        <w:t>Conservative MaxLTV settings provide buffers for drawdowns. Typical values are:</w:t>
      </w:r>
    </w:p>
    <w:tbl>
      <w:tblPr>
        <w:tblStyle w:val="Table"/>
        <w:tblW w:w="0" w:type="auto"/>
        <w:tblLook w:val="0020" w:firstRow="1" w:lastRow="0" w:firstColumn="0" w:lastColumn="0" w:noHBand="0" w:noVBand="0"/>
      </w:tblPr>
      <w:tblGrid>
        <w:gridCol w:w="771"/>
        <w:gridCol w:w="1134"/>
        <w:gridCol w:w="2507"/>
        <w:gridCol w:w="3914"/>
      </w:tblGrid>
      <w:tr w:rsidR="000A6D05" w14:paraId="42EC94B7" w14:textId="77777777" w:rsidTr="000A6D05">
        <w:trPr>
          <w:cnfStyle w:val="100000000000" w:firstRow="1" w:lastRow="0" w:firstColumn="0" w:lastColumn="0" w:oddVBand="0" w:evenVBand="0" w:oddHBand="0" w:evenHBand="0" w:firstRowFirstColumn="0" w:firstRowLastColumn="0" w:lastRowFirstColumn="0" w:lastRowLastColumn="0"/>
          <w:tblHeader/>
        </w:trPr>
        <w:tc>
          <w:tcPr>
            <w:tcW w:w="0" w:type="auto"/>
          </w:tcPr>
          <w:p w14:paraId="42EC94B3" w14:textId="77777777" w:rsidR="000A6D05" w:rsidRDefault="00000000">
            <w:pPr>
              <w:pStyle w:val="Compact"/>
            </w:pPr>
            <w:r>
              <w:t>Asset</w:t>
            </w:r>
          </w:p>
        </w:tc>
        <w:tc>
          <w:tcPr>
            <w:tcW w:w="0" w:type="auto"/>
          </w:tcPr>
          <w:p w14:paraId="42EC94B4" w14:textId="77777777" w:rsidR="000A6D05" w:rsidRDefault="00000000">
            <w:pPr>
              <w:pStyle w:val="Compact"/>
            </w:pPr>
            <w:r>
              <w:t>Max LTV</w:t>
            </w:r>
          </w:p>
        </w:tc>
        <w:tc>
          <w:tcPr>
            <w:tcW w:w="0" w:type="auto"/>
          </w:tcPr>
          <w:p w14:paraId="42EC94B5" w14:textId="77777777" w:rsidR="000A6D05" w:rsidRDefault="00000000">
            <w:pPr>
              <w:pStyle w:val="Compact"/>
            </w:pPr>
            <w:r>
              <w:t>Liquidation Threshold</w:t>
            </w:r>
          </w:p>
        </w:tc>
        <w:tc>
          <w:tcPr>
            <w:tcW w:w="0" w:type="auto"/>
          </w:tcPr>
          <w:p w14:paraId="42EC94B6" w14:textId="77777777" w:rsidR="000A6D05" w:rsidRDefault="00000000">
            <w:pPr>
              <w:pStyle w:val="Compact"/>
            </w:pPr>
            <w:r>
              <w:t>Comments</w:t>
            </w:r>
          </w:p>
        </w:tc>
      </w:tr>
      <w:tr w:rsidR="000A6D05" w14:paraId="42EC94BC" w14:textId="77777777">
        <w:tc>
          <w:tcPr>
            <w:tcW w:w="0" w:type="auto"/>
          </w:tcPr>
          <w:p w14:paraId="42EC94B8" w14:textId="77777777" w:rsidR="000A6D05" w:rsidRDefault="00000000">
            <w:pPr>
              <w:pStyle w:val="Compact"/>
            </w:pPr>
            <w:r>
              <w:t>BTC</w:t>
            </w:r>
          </w:p>
        </w:tc>
        <w:tc>
          <w:tcPr>
            <w:tcW w:w="0" w:type="auto"/>
          </w:tcPr>
          <w:p w14:paraId="42EC94B9" w14:textId="77777777" w:rsidR="000A6D05" w:rsidRDefault="00000000">
            <w:pPr>
              <w:pStyle w:val="Compact"/>
            </w:pPr>
            <w:r>
              <w:t>55 %</w:t>
            </w:r>
          </w:p>
        </w:tc>
        <w:tc>
          <w:tcPr>
            <w:tcW w:w="0" w:type="auto"/>
          </w:tcPr>
          <w:p w14:paraId="42EC94BA" w14:textId="77777777" w:rsidR="000A6D05" w:rsidRDefault="00000000">
            <w:pPr>
              <w:pStyle w:val="Compact"/>
            </w:pPr>
            <w:r>
              <w:t>70 %</w:t>
            </w:r>
          </w:p>
        </w:tc>
        <w:tc>
          <w:tcPr>
            <w:tcW w:w="0" w:type="auto"/>
          </w:tcPr>
          <w:p w14:paraId="42EC94BB" w14:textId="77777777" w:rsidR="000A6D05" w:rsidRDefault="00000000">
            <w:pPr>
              <w:pStyle w:val="Compact"/>
            </w:pPr>
            <w:r>
              <w:t>High liquidity; lower volatility</w:t>
            </w:r>
          </w:p>
        </w:tc>
      </w:tr>
      <w:tr w:rsidR="000A6D05" w14:paraId="42EC94C1" w14:textId="77777777">
        <w:tc>
          <w:tcPr>
            <w:tcW w:w="0" w:type="auto"/>
          </w:tcPr>
          <w:p w14:paraId="42EC94BD" w14:textId="77777777" w:rsidR="000A6D05" w:rsidRDefault="00000000">
            <w:pPr>
              <w:pStyle w:val="Compact"/>
            </w:pPr>
            <w:r>
              <w:t>ETH</w:t>
            </w:r>
          </w:p>
        </w:tc>
        <w:tc>
          <w:tcPr>
            <w:tcW w:w="0" w:type="auto"/>
          </w:tcPr>
          <w:p w14:paraId="42EC94BE" w14:textId="77777777" w:rsidR="000A6D05" w:rsidRDefault="00000000">
            <w:pPr>
              <w:pStyle w:val="Compact"/>
            </w:pPr>
            <w:r>
              <w:t>50–55 %</w:t>
            </w:r>
          </w:p>
        </w:tc>
        <w:tc>
          <w:tcPr>
            <w:tcW w:w="0" w:type="auto"/>
          </w:tcPr>
          <w:p w14:paraId="42EC94BF" w14:textId="77777777" w:rsidR="000A6D05" w:rsidRDefault="00000000">
            <w:pPr>
              <w:pStyle w:val="Compact"/>
            </w:pPr>
            <w:r>
              <w:t>72 %</w:t>
            </w:r>
          </w:p>
        </w:tc>
        <w:tc>
          <w:tcPr>
            <w:tcW w:w="0" w:type="auto"/>
          </w:tcPr>
          <w:p w14:paraId="42EC94C0" w14:textId="77777777" w:rsidR="000A6D05" w:rsidRDefault="00000000">
            <w:pPr>
              <w:pStyle w:val="Compact"/>
            </w:pPr>
            <w:r>
              <w:t>Higher volatility than BTC</w:t>
            </w:r>
          </w:p>
        </w:tc>
      </w:tr>
      <w:tr w:rsidR="000A6D05" w14:paraId="42EC94C6" w14:textId="77777777">
        <w:tc>
          <w:tcPr>
            <w:tcW w:w="0" w:type="auto"/>
          </w:tcPr>
          <w:p w14:paraId="42EC94C2" w14:textId="77777777" w:rsidR="000A6D05" w:rsidRDefault="00000000">
            <w:pPr>
              <w:pStyle w:val="Compact"/>
            </w:pPr>
            <w:r>
              <w:t>SOL</w:t>
            </w:r>
          </w:p>
        </w:tc>
        <w:tc>
          <w:tcPr>
            <w:tcW w:w="0" w:type="auto"/>
          </w:tcPr>
          <w:p w14:paraId="42EC94C3" w14:textId="77777777" w:rsidR="000A6D05" w:rsidRDefault="00000000">
            <w:pPr>
              <w:pStyle w:val="Compact"/>
            </w:pPr>
            <w:r>
              <w:t>40–45 %</w:t>
            </w:r>
          </w:p>
        </w:tc>
        <w:tc>
          <w:tcPr>
            <w:tcW w:w="0" w:type="auto"/>
          </w:tcPr>
          <w:p w14:paraId="42EC94C4" w14:textId="77777777" w:rsidR="000A6D05" w:rsidRDefault="00000000">
            <w:pPr>
              <w:pStyle w:val="Compact"/>
            </w:pPr>
            <w:r>
              <w:t>65–67 %</w:t>
            </w:r>
          </w:p>
        </w:tc>
        <w:tc>
          <w:tcPr>
            <w:tcW w:w="0" w:type="auto"/>
          </w:tcPr>
          <w:p w14:paraId="42EC94C5" w14:textId="77777777" w:rsidR="000A6D05" w:rsidRDefault="00000000">
            <w:pPr>
              <w:pStyle w:val="Compact"/>
            </w:pPr>
            <w:r>
              <w:t>Lower liquidity and higher volatility</w:t>
            </w:r>
          </w:p>
        </w:tc>
      </w:tr>
      <w:tr w:rsidR="000A6D05" w14:paraId="42EC94CB" w14:textId="77777777">
        <w:tc>
          <w:tcPr>
            <w:tcW w:w="0" w:type="auto"/>
          </w:tcPr>
          <w:p w14:paraId="42EC94C7" w14:textId="77777777" w:rsidR="000A6D05" w:rsidRDefault="00000000">
            <w:pPr>
              <w:pStyle w:val="Compact"/>
            </w:pPr>
            <w:r>
              <w:t>XNT</w:t>
            </w:r>
          </w:p>
        </w:tc>
        <w:tc>
          <w:tcPr>
            <w:tcW w:w="0" w:type="auto"/>
          </w:tcPr>
          <w:p w14:paraId="42EC94C8" w14:textId="77777777" w:rsidR="000A6D05" w:rsidRDefault="00000000">
            <w:pPr>
              <w:pStyle w:val="Compact"/>
            </w:pPr>
            <w:r>
              <w:t>30–40 %</w:t>
            </w:r>
          </w:p>
        </w:tc>
        <w:tc>
          <w:tcPr>
            <w:tcW w:w="0" w:type="auto"/>
          </w:tcPr>
          <w:p w14:paraId="42EC94C9" w14:textId="77777777" w:rsidR="000A6D05" w:rsidRDefault="00000000">
            <w:pPr>
              <w:pStyle w:val="Compact"/>
            </w:pPr>
            <w:r>
              <w:t>60–65 %</w:t>
            </w:r>
          </w:p>
        </w:tc>
        <w:tc>
          <w:tcPr>
            <w:tcW w:w="0" w:type="auto"/>
          </w:tcPr>
          <w:p w14:paraId="42EC94CA" w14:textId="77777777" w:rsidR="000A6D05" w:rsidRDefault="00000000">
            <w:pPr>
              <w:pStyle w:val="Compact"/>
            </w:pPr>
            <w:r>
              <w:t>Newer asset with lower liquidity</w:t>
            </w:r>
          </w:p>
        </w:tc>
      </w:tr>
    </w:tbl>
    <w:p w14:paraId="42EC94CC" w14:textId="77777777" w:rsidR="000A6D05" w:rsidRDefault="00000000">
      <w:pPr>
        <w:pStyle w:val="Heading2"/>
      </w:pPr>
      <w:bookmarkStart w:id="36" w:name="dynamic-thresholds-and-term-adjustments"/>
      <w:bookmarkEnd w:id="35"/>
      <w:r>
        <w:t>6.3 Dynamic Thresholds and Term Adjustments</w:t>
      </w:r>
    </w:p>
    <w:p w14:paraId="42EC94CD" w14:textId="77777777" w:rsidR="000A6D05" w:rsidRDefault="00000000">
      <w:pPr>
        <w:pStyle w:val="FirstParagraph"/>
      </w:pPr>
      <w:r>
        <w:t>Liquidation thresholds adapt to short‑term volatility ((t)) via:</w:t>
      </w:r>
    </w:p>
    <w:p w14:paraId="42EC94CE" w14:textId="77777777" w:rsidR="000A6D05" w:rsidRDefault="00000000">
      <w:pPr>
        <w:pStyle w:val="CaptionedFigure"/>
      </w:pPr>
      <w:r>
        <w:rPr>
          <w:noProof/>
        </w:rPr>
        <w:lastRenderedPageBreak/>
        <w:drawing>
          <wp:inline distT="0" distB="0" distL="0" distR="0" wp14:anchorId="42EC95BC" wp14:editId="42EC95BD">
            <wp:extent cx="5137765" cy="1006145"/>
            <wp:effectExtent l="0" t="0" r="0" b="0"/>
            <wp:docPr id="65" name="Picture" descr="Dynamic LTV formula"/>
            <wp:cNvGraphicFramePr/>
            <a:graphic xmlns:a="http://schemas.openxmlformats.org/drawingml/2006/main">
              <a:graphicData uri="http://schemas.openxmlformats.org/drawingml/2006/picture">
                <pic:pic xmlns:pic="http://schemas.openxmlformats.org/drawingml/2006/picture">
                  <pic:nvPicPr>
                    <pic:cNvPr id="66" name="Picture" descr="formula3.png"/>
                    <pic:cNvPicPr>
                      <a:picLocks noChangeAspect="1" noChangeArrowheads="1"/>
                    </pic:cNvPicPr>
                  </pic:nvPicPr>
                  <pic:blipFill>
                    <a:blip r:embed="rId11"/>
                    <a:stretch>
                      <a:fillRect/>
                    </a:stretch>
                  </pic:blipFill>
                  <pic:spPr bwMode="auto">
                    <a:xfrm>
                      <a:off x="0" y="0"/>
                      <a:ext cx="5137765" cy="1006145"/>
                    </a:xfrm>
                    <a:prstGeom prst="rect">
                      <a:avLst/>
                    </a:prstGeom>
                    <a:noFill/>
                    <a:ln w="9525">
                      <a:noFill/>
                      <a:headEnd/>
                      <a:tailEnd/>
                    </a:ln>
                  </pic:spPr>
                </pic:pic>
              </a:graphicData>
            </a:graphic>
          </wp:inline>
        </w:drawing>
      </w:r>
    </w:p>
    <w:p w14:paraId="42EC94CF" w14:textId="77777777" w:rsidR="000A6D05" w:rsidRDefault="00000000">
      <w:pPr>
        <w:pStyle w:val="ImageCaption"/>
      </w:pPr>
      <w:r>
        <w:t>Dynamic LTV formula</w:t>
      </w:r>
    </w:p>
    <w:p w14:paraId="42EC94D0" w14:textId="77777777" w:rsidR="000A6D05" w:rsidRDefault="00000000">
      <w:pPr>
        <w:pStyle w:val="BodyText"/>
      </w:pPr>
      <w:r>
        <w:t>where () is a sensitivity constant. Longer terms reduce MaxLTVs to account for extended price risk (e.g. –2 % for monthly, –5 % for quarterly, –10 % for annual terms).</w:t>
      </w:r>
    </w:p>
    <w:p w14:paraId="42EC94D1" w14:textId="77777777" w:rsidR="000A6D05" w:rsidRDefault="00000000">
      <w:pPr>
        <w:pStyle w:val="Heading2"/>
      </w:pPr>
      <w:bookmarkStart w:id="37" w:name="sensitivity-and-stress-tests"/>
      <w:bookmarkEnd w:id="36"/>
      <w:r>
        <w:t>6.4 Sensitivity and Stress Tests</w:t>
      </w:r>
    </w:p>
    <w:p w14:paraId="42EC94D2" w14:textId="77777777" w:rsidR="000A6D05" w:rsidRDefault="00000000">
      <w:pPr>
        <w:pStyle w:val="FirstParagraph"/>
      </w:pPr>
      <w:r>
        <w:t>Define Required Liquidation Gap (RLG) as the drop in collateral value needed to reach liquidation. X‑Leverage simulates extreme scenarios—COVID‑19 crash, Terra collapse, FTX crash—and demonstrates that conservative LTVs and deterministic liquidation keep LP losses negligible. Even under 50 % daily drawdowns, positions liquidate early and obligations are covered.</w:t>
      </w:r>
    </w:p>
    <w:p w14:paraId="42EC94D3" w14:textId="77777777" w:rsidR="000A6D05" w:rsidRDefault="00000000">
      <w:pPr>
        <w:pStyle w:val="Heading2"/>
      </w:pPr>
      <w:bookmarkStart w:id="38" w:name="probabilistic-risk-modeling"/>
      <w:bookmarkEnd w:id="37"/>
      <w:r>
        <w:t>6.5 Probabilistic Risk Modeling</w:t>
      </w:r>
    </w:p>
    <w:p w14:paraId="42EC94D4" w14:textId="77777777" w:rsidR="000A6D05" w:rsidRDefault="00000000">
      <w:pPr>
        <w:pStyle w:val="FirstParagraph"/>
      </w:pPr>
      <w:r>
        <w:t>Liquidation probability is modelled as a first‑passage problem in geometric Brownian motion. Under recommended LTVs and typical volatilities, the likelihood of liquidation remains below 15 % for quarterly BTC/ETH terms. Tail‑risk analyses consider volatility shocks, correlated crashes and oracle lag, showing that solvency is maintained in &gt;99.9 % of scenarios. Any rare shortfalls are socialised across LPs and treasury.</w:t>
      </w:r>
    </w:p>
    <w:p w14:paraId="42EC94D5" w14:textId="77777777" w:rsidR="000A6D05" w:rsidRDefault="00000000">
      <w:pPr>
        <w:pStyle w:val="Heading2"/>
      </w:pPr>
      <w:bookmarkStart w:id="39" w:name="systemic-risk-defence"/>
      <w:bookmarkEnd w:id="38"/>
      <w:r>
        <w:t>6.6 Systemic Risk Defence</w:t>
      </w:r>
    </w:p>
    <w:p w14:paraId="42EC94D6" w14:textId="77777777" w:rsidR="000A6D05" w:rsidRDefault="00000000">
      <w:pPr>
        <w:pStyle w:val="FirstParagraph"/>
      </w:pPr>
      <w:r>
        <w:t>X‑Leverage mitigates systemic risk by:</w:t>
      </w:r>
    </w:p>
    <w:p w14:paraId="42EC94D7" w14:textId="77777777" w:rsidR="000A6D05" w:rsidRDefault="00000000">
      <w:pPr>
        <w:pStyle w:val="Compact"/>
        <w:numPr>
          <w:ilvl w:val="0"/>
          <w:numId w:val="20"/>
        </w:numPr>
      </w:pPr>
      <w:r>
        <w:t>Providing clear LTV thresholds that reduce panic and reflexive cascades.</w:t>
      </w:r>
    </w:p>
    <w:p w14:paraId="42EC94D8" w14:textId="77777777" w:rsidR="000A6D05" w:rsidRDefault="00000000">
      <w:pPr>
        <w:pStyle w:val="Compact"/>
        <w:numPr>
          <w:ilvl w:val="0"/>
          <w:numId w:val="20"/>
        </w:numPr>
      </w:pPr>
      <w:r>
        <w:t>Ensuring oracle integrity through multi‑feed validation and failover.</w:t>
      </w:r>
    </w:p>
    <w:p w14:paraId="42EC94D9" w14:textId="77777777" w:rsidR="000A6D05" w:rsidRDefault="00000000">
      <w:pPr>
        <w:pStyle w:val="Compact"/>
        <w:numPr>
          <w:ilvl w:val="0"/>
          <w:numId w:val="20"/>
        </w:numPr>
      </w:pPr>
      <w:r>
        <w:t>Maintaining treasury liquidity to supply financing during LP drawdowns.</w:t>
      </w:r>
    </w:p>
    <w:p w14:paraId="42EC94DA" w14:textId="77777777" w:rsidR="000A6D05" w:rsidRDefault="00000000">
      <w:pPr>
        <w:pStyle w:val="Compact"/>
        <w:numPr>
          <w:ilvl w:val="0"/>
          <w:numId w:val="20"/>
        </w:numPr>
      </w:pPr>
      <w:r>
        <w:t>Avoiding APR risk entirely—obligations do not grow over time.</w:t>
      </w:r>
    </w:p>
    <w:p w14:paraId="42EC94DB" w14:textId="77777777" w:rsidR="000A6D05" w:rsidRDefault="00000000">
      <w:r>
        <w:pict w14:anchorId="42EC95BE">
          <v:rect id="_x0000_i1030" style="width:0;height:1.5pt" o:hralign="center" o:hrstd="t" o:hr="t"/>
        </w:pict>
      </w:r>
    </w:p>
    <w:p w14:paraId="42EC94DC" w14:textId="77777777" w:rsidR="000A6D05" w:rsidRDefault="00000000">
      <w:pPr>
        <w:pStyle w:val="Heading1"/>
      </w:pPr>
      <w:bookmarkStart w:id="40" w:name="economic-architecture"/>
      <w:bookmarkEnd w:id="33"/>
      <w:bookmarkEnd w:id="39"/>
      <w:r>
        <w:t>7. Economic Architecture</w:t>
      </w:r>
    </w:p>
    <w:p w14:paraId="42EC94DD" w14:textId="77777777" w:rsidR="000A6D05" w:rsidRDefault="00000000">
      <w:pPr>
        <w:pStyle w:val="Heading2"/>
      </w:pPr>
      <w:bookmarkStart w:id="41" w:name="term-fee-schedule"/>
      <w:r>
        <w:t>7.1 Term Fee Schedule</w:t>
      </w:r>
    </w:p>
    <w:p w14:paraId="42EC94DE" w14:textId="77777777" w:rsidR="000A6D05" w:rsidRDefault="00000000">
      <w:pPr>
        <w:pStyle w:val="FirstParagraph"/>
      </w:pPr>
      <w:r>
        <w:t>Fees are fixed percentages of the financing amount. Illustrative ranges:</w:t>
      </w:r>
    </w:p>
    <w:tbl>
      <w:tblPr>
        <w:tblStyle w:val="Table"/>
        <w:tblW w:w="0" w:type="auto"/>
        <w:tblLook w:val="0020" w:firstRow="1" w:lastRow="0" w:firstColumn="0" w:lastColumn="0" w:noHBand="0" w:noVBand="0"/>
      </w:tblPr>
      <w:tblGrid>
        <w:gridCol w:w="1419"/>
        <w:gridCol w:w="2419"/>
        <w:gridCol w:w="2419"/>
      </w:tblGrid>
      <w:tr w:rsidR="000A6D05" w14:paraId="42EC94E2" w14:textId="77777777" w:rsidTr="000A6D05">
        <w:trPr>
          <w:cnfStyle w:val="100000000000" w:firstRow="1" w:lastRow="0" w:firstColumn="0" w:lastColumn="0" w:oddVBand="0" w:evenVBand="0" w:oddHBand="0" w:evenHBand="0" w:firstRowFirstColumn="0" w:firstRowLastColumn="0" w:lastRowFirstColumn="0" w:lastRowLastColumn="0"/>
          <w:tblHeader/>
        </w:trPr>
        <w:tc>
          <w:tcPr>
            <w:tcW w:w="0" w:type="auto"/>
          </w:tcPr>
          <w:p w14:paraId="42EC94DF" w14:textId="77777777" w:rsidR="000A6D05" w:rsidRDefault="00000000">
            <w:pPr>
              <w:pStyle w:val="Compact"/>
            </w:pPr>
            <w:r>
              <w:t>Term</w:t>
            </w:r>
          </w:p>
        </w:tc>
        <w:tc>
          <w:tcPr>
            <w:tcW w:w="0" w:type="auto"/>
          </w:tcPr>
          <w:p w14:paraId="42EC94E0" w14:textId="77777777" w:rsidR="000A6D05" w:rsidRDefault="00000000">
            <w:pPr>
              <w:pStyle w:val="Compact"/>
            </w:pPr>
            <w:r>
              <w:t>Base Fee (No Carry)</w:t>
            </w:r>
          </w:p>
        </w:tc>
        <w:tc>
          <w:tcPr>
            <w:tcW w:w="0" w:type="auto"/>
          </w:tcPr>
          <w:p w14:paraId="42EC94E1" w14:textId="77777777" w:rsidR="000A6D05" w:rsidRDefault="00000000">
            <w:pPr>
              <w:pStyle w:val="Compact"/>
            </w:pPr>
            <w:r>
              <w:t>Carry‑Enabled Fee</w:t>
            </w:r>
          </w:p>
        </w:tc>
      </w:tr>
      <w:tr w:rsidR="000A6D05" w14:paraId="42EC94E6" w14:textId="77777777">
        <w:tc>
          <w:tcPr>
            <w:tcW w:w="0" w:type="auto"/>
          </w:tcPr>
          <w:p w14:paraId="42EC94E3" w14:textId="77777777" w:rsidR="000A6D05" w:rsidRDefault="00000000">
            <w:pPr>
              <w:pStyle w:val="Compact"/>
            </w:pPr>
            <w:r>
              <w:t>Daily</w:t>
            </w:r>
          </w:p>
        </w:tc>
        <w:tc>
          <w:tcPr>
            <w:tcW w:w="0" w:type="auto"/>
          </w:tcPr>
          <w:p w14:paraId="42EC94E4" w14:textId="77777777" w:rsidR="000A6D05" w:rsidRDefault="00000000">
            <w:pPr>
              <w:pStyle w:val="Compact"/>
            </w:pPr>
            <w:r>
              <w:t>2 bps per day</w:t>
            </w:r>
          </w:p>
        </w:tc>
        <w:tc>
          <w:tcPr>
            <w:tcW w:w="0" w:type="auto"/>
          </w:tcPr>
          <w:p w14:paraId="42EC94E5" w14:textId="77777777" w:rsidR="000A6D05" w:rsidRDefault="00000000">
            <w:pPr>
              <w:pStyle w:val="Compact"/>
            </w:pPr>
            <w:r>
              <w:t>N/A</w:t>
            </w:r>
          </w:p>
        </w:tc>
      </w:tr>
      <w:tr w:rsidR="000A6D05" w14:paraId="42EC94EA" w14:textId="77777777">
        <w:tc>
          <w:tcPr>
            <w:tcW w:w="0" w:type="auto"/>
          </w:tcPr>
          <w:p w14:paraId="42EC94E7" w14:textId="77777777" w:rsidR="000A6D05" w:rsidRDefault="00000000">
            <w:pPr>
              <w:pStyle w:val="Compact"/>
            </w:pPr>
            <w:r>
              <w:t>Weekly</w:t>
            </w:r>
          </w:p>
        </w:tc>
        <w:tc>
          <w:tcPr>
            <w:tcW w:w="0" w:type="auto"/>
          </w:tcPr>
          <w:p w14:paraId="42EC94E8" w14:textId="77777777" w:rsidR="000A6D05" w:rsidRDefault="00000000">
            <w:pPr>
              <w:pStyle w:val="Compact"/>
            </w:pPr>
            <w:r>
              <w:t>12–14 bps per week</w:t>
            </w:r>
          </w:p>
        </w:tc>
        <w:tc>
          <w:tcPr>
            <w:tcW w:w="0" w:type="auto"/>
          </w:tcPr>
          <w:p w14:paraId="42EC94E9" w14:textId="77777777" w:rsidR="000A6D05" w:rsidRDefault="00000000">
            <w:pPr>
              <w:pStyle w:val="Compact"/>
            </w:pPr>
            <w:r>
              <w:t>N/A</w:t>
            </w:r>
          </w:p>
        </w:tc>
      </w:tr>
      <w:tr w:rsidR="000A6D05" w14:paraId="42EC94EE" w14:textId="77777777">
        <w:tc>
          <w:tcPr>
            <w:tcW w:w="0" w:type="auto"/>
          </w:tcPr>
          <w:p w14:paraId="42EC94EB" w14:textId="77777777" w:rsidR="000A6D05" w:rsidRDefault="00000000">
            <w:pPr>
              <w:pStyle w:val="Compact"/>
            </w:pPr>
            <w:r>
              <w:lastRenderedPageBreak/>
              <w:t>Monthly</w:t>
            </w:r>
          </w:p>
        </w:tc>
        <w:tc>
          <w:tcPr>
            <w:tcW w:w="0" w:type="auto"/>
          </w:tcPr>
          <w:p w14:paraId="42EC94EC" w14:textId="77777777" w:rsidR="000A6D05" w:rsidRDefault="00000000">
            <w:pPr>
              <w:pStyle w:val="Compact"/>
            </w:pPr>
            <w:r>
              <w:t>30–40 bps per month</w:t>
            </w:r>
          </w:p>
        </w:tc>
        <w:tc>
          <w:tcPr>
            <w:tcW w:w="0" w:type="auto"/>
          </w:tcPr>
          <w:p w14:paraId="42EC94ED" w14:textId="77777777" w:rsidR="000A6D05" w:rsidRDefault="00000000">
            <w:pPr>
              <w:pStyle w:val="Compact"/>
            </w:pPr>
            <w:r>
              <w:t>25–35 bps per month</w:t>
            </w:r>
          </w:p>
        </w:tc>
      </w:tr>
      <w:tr w:rsidR="000A6D05" w14:paraId="42EC94F2" w14:textId="77777777">
        <w:tc>
          <w:tcPr>
            <w:tcW w:w="0" w:type="auto"/>
          </w:tcPr>
          <w:p w14:paraId="42EC94EF" w14:textId="77777777" w:rsidR="000A6D05" w:rsidRDefault="00000000">
            <w:pPr>
              <w:pStyle w:val="Compact"/>
            </w:pPr>
            <w:r>
              <w:t>Quarterly</w:t>
            </w:r>
          </w:p>
        </w:tc>
        <w:tc>
          <w:tcPr>
            <w:tcW w:w="0" w:type="auto"/>
          </w:tcPr>
          <w:p w14:paraId="42EC94F0" w14:textId="77777777" w:rsidR="000A6D05" w:rsidRDefault="00000000">
            <w:pPr>
              <w:pStyle w:val="Compact"/>
            </w:pPr>
            <w:r>
              <w:t>80–100 bps</w:t>
            </w:r>
          </w:p>
        </w:tc>
        <w:tc>
          <w:tcPr>
            <w:tcW w:w="0" w:type="auto"/>
          </w:tcPr>
          <w:p w14:paraId="42EC94F1" w14:textId="77777777" w:rsidR="000A6D05" w:rsidRDefault="00000000">
            <w:pPr>
              <w:pStyle w:val="Compact"/>
            </w:pPr>
            <w:r>
              <w:t>60–80 bps</w:t>
            </w:r>
          </w:p>
        </w:tc>
      </w:tr>
      <w:tr w:rsidR="000A6D05" w14:paraId="42EC94F6" w14:textId="77777777">
        <w:tc>
          <w:tcPr>
            <w:tcW w:w="0" w:type="auto"/>
          </w:tcPr>
          <w:p w14:paraId="42EC94F3" w14:textId="77777777" w:rsidR="000A6D05" w:rsidRDefault="00000000">
            <w:pPr>
              <w:pStyle w:val="Compact"/>
            </w:pPr>
            <w:r>
              <w:t>Semiannual</w:t>
            </w:r>
          </w:p>
        </w:tc>
        <w:tc>
          <w:tcPr>
            <w:tcW w:w="0" w:type="auto"/>
          </w:tcPr>
          <w:p w14:paraId="42EC94F4" w14:textId="77777777" w:rsidR="000A6D05" w:rsidRDefault="00000000">
            <w:pPr>
              <w:pStyle w:val="Compact"/>
            </w:pPr>
            <w:r>
              <w:t>150–200 bps</w:t>
            </w:r>
          </w:p>
        </w:tc>
        <w:tc>
          <w:tcPr>
            <w:tcW w:w="0" w:type="auto"/>
          </w:tcPr>
          <w:p w14:paraId="42EC94F5" w14:textId="77777777" w:rsidR="000A6D05" w:rsidRDefault="00000000">
            <w:pPr>
              <w:pStyle w:val="Compact"/>
            </w:pPr>
            <w:r>
              <w:t>120–160 bps</w:t>
            </w:r>
          </w:p>
        </w:tc>
      </w:tr>
      <w:tr w:rsidR="000A6D05" w14:paraId="42EC94FA" w14:textId="77777777">
        <w:tc>
          <w:tcPr>
            <w:tcW w:w="0" w:type="auto"/>
          </w:tcPr>
          <w:p w14:paraId="42EC94F7" w14:textId="77777777" w:rsidR="000A6D05" w:rsidRDefault="00000000">
            <w:pPr>
              <w:pStyle w:val="Compact"/>
            </w:pPr>
            <w:r>
              <w:t>Annual</w:t>
            </w:r>
          </w:p>
        </w:tc>
        <w:tc>
          <w:tcPr>
            <w:tcW w:w="0" w:type="auto"/>
          </w:tcPr>
          <w:p w14:paraId="42EC94F8" w14:textId="77777777" w:rsidR="000A6D05" w:rsidRDefault="00000000">
            <w:pPr>
              <w:pStyle w:val="Compact"/>
            </w:pPr>
            <w:r>
              <w:t>300–350 bps</w:t>
            </w:r>
          </w:p>
        </w:tc>
        <w:tc>
          <w:tcPr>
            <w:tcW w:w="0" w:type="auto"/>
          </w:tcPr>
          <w:p w14:paraId="42EC94F9" w14:textId="77777777" w:rsidR="000A6D05" w:rsidRDefault="00000000">
            <w:pPr>
              <w:pStyle w:val="Compact"/>
            </w:pPr>
            <w:r>
              <w:t>240–300 bps</w:t>
            </w:r>
          </w:p>
        </w:tc>
      </w:tr>
    </w:tbl>
    <w:p w14:paraId="42EC94FB" w14:textId="77777777" w:rsidR="000A6D05" w:rsidRDefault="00000000">
      <w:pPr>
        <w:pStyle w:val="BodyText"/>
      </w:pPr>
      <w:r>
        <w:t>Carry‑enabled terms (≥30 days) feature lower base fees because the protocol participates in profits.</w:t>
      </w:r>
    </w:p>
    <w:p w14:paraId="42EC94FC" w14:textId="77777777" w:rsidR="000A6D05" w:rsidRDefault="00000000">
      <w:pPr>
        <w:pStyle w:val="Heading2"/>
      </w:pPr>
      <w:bookmarkStart w:id="42" w:name="advantages-of-fixed-fees"/>
      <w:bookmarkEnd w:id="41"/>
      <w:r>
        <w:t>7.2 Advantages of Fixed Fees</w:t>
      </w:r>
    </w:p>
    <w:p w14:paraId="42EC94FD" w14:textId="77777777" w:rsidR="000A6D05" w:rsidRDefault="00000000">
      <w:pPr>
        <w:pStyle w:val="FirstParagraph"/>
      </w:pPr>
      <w:r>
        <w:t>Unlike utilisation‑based APRs that fluctuate hourly, fixed fees:</w:t>
      </w:r>
    </w:p>
    <w:p w14:paraId="42EC94FE" w14:textId="77777777" w:rsidR="000A6D05" w:rsidRDefault="00000000">
      <w:pPr>
        <w:pStyle w:val="Compact"/>
        <w:numPr>
          <w:ilvl w:val="0"/>
          <w:numId w:val="21"/>
        </w:numPr>
      </w:pPr>
      <w:r>
        <w:t>Provide cost certainty and simplify profit‑and‑loss forecasting.</w:t>
      </w:r>
    </w:p>
    <w:p w14:paraId="42EC94FF" w14:textId="77777777" w:rsidR="000A6D05" w:rsidRDefault="00000000">
      <w:pPr>
        <w:pStyle w:val="Compact"/>
        <w:numPr>
          <w:ilvl w:val="0"/>
          <w:numId w:val="21"/>
        </w:numPr>
      </w:pPr>
      <w:r>
        <w:t>Align with prime‑brokerage financing conventions.</w:t>
      </w:r>
    </w:p>
    <w:p w14:paraId="42EC9500" w14:textId="77777777" w:rsidR="000A6D05" w:rsidRDefault="00000000">
      <w:pPr>
        <w:pStyle w:val="Compact"/>
        <w:numPr>
          <w:ilvl w:val="0"/>
          <w:numId w:val="21"/>
        </w:numPr>
      </w:pPr>
      <w:r>
        <w:t>Eliminate reflexive interest‑rate spirals during market stress.</w:t>
      </w:r>
    </w:p>
    <w:p w14:paraId="42EC9501" w14:textId="77777777" w:rsidR="000A6D05" w:rsidRDefault="00000000">
      <w:pPr>
        <w:pStyle w:val="Heading2"/>
      </w:pPr>
      <w:bookmarkStart w:id="43" w:name="utilisationbased-fee-split"/>
      <w:bookmarkEnd w:id="42"/>
      <w:r>
        <w:t>7.3 Utilisation‑Based Fee Split</w:t>
      </w:r>
    </w:p>
    <w:p w14:paraId="42EC9502" w14:textId="77777777" w:rsidR="000A6D05" w:rsidRDefault="00000000">
      <w:pPr>
        <w:pStyle w:val="FirstParagraph"/>
      </w:pPr>
      <w:r>
        <w:t>The protocol divides term fees between LPs and operations based on vault utilisation (u):</w:t>
      </w:r>
    </w:p>
    <w:tbl>
      <w:tblPr>
        <w:tblStyle w:val="Table"/>
        <w:tblW w:w="0" w:type="auto"/>
        <w:tblLook w:val="0020" w:firstRow="1" w:lastRow="0" w:firstColumn="0" w:lastColumn="0" w:noHBand="0" w:noVBand="0"/>
      </w:tblPr>
      <w:tblGrid>
        <w:gridCol w:w="1650"/>
        <w:gridCol w:w="1119"/>
        <w:gridCol w:w="1724"/>
      </w:tblGrid>
      <w:tr w:rsidR="000A6D05" w14:paraId="42EC9506" w14:textId="77777777" w:rsidTr="000A6D05">
        <w:trPr>
          <w:cnfStyle w:val="100000000000" w:firstRow="1" w:lastRow="0" w:firstColumn="0" w:lastColumn="0" w:oddVBand="0" w:evenVBand="0" w:oddHBand="0" w:evenHBand="0" w:firstRowFirstColumn="0" w:firstRowLastColumn="0" w:lastRowFirstColumn="0" w:lastRowLastColumn="0"/>
          <w:tblHeader/>
        </w:trPr>
        <w:tc>
          <w:tcPr>
            <w:tcW w:w="0" w:type="auto"/>
          </w:tcPr>
          <w:p w14:paraId="42EC9503" w14:textId="77777777" w:rsidR="000A6D05" w:rsidRDefault="00000000">
            <w:pPr>
              <w:pStyle w:val="Compact"/>
            </w:pPr>
            <w:r>
              <w:t>Utilisation (u)</w:t>
            </w:r>
          </w:p>
        </w:tc>
        <w:tc>
          <w:tcPr>
            <w:tcW w:w="0" w:type="auto"/>
          </w:tcPr>
          <w:p w14:paraId="42EC9504" w14:textId="77777777" w:rsidR="000A6D05" w:rsidRDefault="00000000">
            <w:pPr>
              <w:pStyle w:val="Compact"/>
            </w:pPr>
            <w:r>
              <w:t>LP Share</w:t>
            </w:r>
          </w:p>
        </w:tc>
        <w:tc>
          <w:tcPr>
            <w:tcW w:w="0" w:type="auto"/>
          </w:tcPr>
          <w:p w14:paraId="42EC9505" w14:textId="77777777" w:rsidR="000A6D05" w:rsidRDefault="00000000">
            <w:pPr>
              <w:pStyle w:val="Compact"/>
            </w:pPr>
            <w:r>
              <w:t>Protocol Share</w:t>
            </w:r>
          </w:p>
        </w:tc>
      </w:tr>
      <w:tr w:rsidR="000A6D05" w14:paraId="42EC950A" w14:textId="77777777">
        <w:tc>
          <w:tcPr>
            <w:tcW w:w="0" w:type="auto"/>
          </w:tcPr>
          <w:p w14:paraId="42EC9507" w14:textId="77777777" w:rsidR="000A6D05" w:rsidRDefault="00000000">
            <w:pPr>
              <w:pStyle w:val="Compact"/>
            </w:pPr>
            <w:r>
              <w:t>(u &lt; 40 %)</w:t>
            </w:r>
          </w:p>
        </w:tc>
        <w:tc>
          <w:tcPr>
            <w:tcW w:w="0" w:type="auto"/>
          </w:tcPr>
          <w:p w14:paraId="42EC9508" w14:textId="77777777" w:rsidR="000A6D05" w:rsidRDefault="00000000">
            <w:pPr>
              <w:pStyle w:val="Compact"/>
            </w:pPr>
            <w:r>
              <w:t>70 %</w:t>
            </w:r>
          </w:p>
        </w:tc>
        <w:tc>
          <w:tcPr>
            <w:tcW w:w="0" w:type="auto"/>
          </w:tcPr>
          <w:p w14:paraId="42EC9509" w14:textId="77777777" w:rsidR="000A6D05" w:rsidRDefault="00000000">
            <w:pPr>
              <w:pStyle w:val="Compact"/>
            </w:pPr>
            <w:r>
              <w:t>30 %</w:t>
            </w:r>
          </w:p>
        </w:tc>
      </w:tr>
      <w:tr w:rsidR="000A6D05" w14:paraId="42EC950E" w14:textId="77777777">
        <w:tc>
          <w:tcPr>
            <w:tcW w:w="0" w:type="auto"/>
          </w:tcPr>
          <w:p w14:paraId="42EC950B" w14:textId="77777777" w:rsidR="000A6D05" w:rsidRDefault="00000000">
            <w:pPr>
              <w:pStyle w:val="Compact"/>
            </w:pPr>
            <w:r>
              <w:t>(40 % u  %)</w:t>
            </w:r>
          </w:p>
        </w:tc>
        <w:tc>
          <w:tcPr>
            <w:tcW w:w="0" w:type="auto"/>
          </w:tcPr>
          <w:p w14:paraId="42EC950C" w14:textId="77777777" w:rsidR="000A6D05" w:rsidRDefault="00000000">
            <w:pPr>
              <w:pStyle w:val="Compact"/>
            </w:pPr>
            <w:r>
              <w:t>80 %</w:t>
            </w:r>
          </w:p>
        </w:tc>
        <w:tc>
          <w:tcPr>
            <w:tcW w:w="0" w:type="auto"/>
          </w:tcPr>
          <w:p w14:paraId="42EC950D" w14:textId="77777777" w:rsidR="000A6D05" w:rsidRDefault="00000000">
            <w:pPr>
              <w:pStyle w:val="Compact"/>
            </w:pPr>
            <w:r>
              <w:t>20 %</w:t>
            </w:r>
          </w:p>
        </w:tc>
      </w:tr>
      <w:tr w:rsidR="000A6D05" w14:paraId="42EC9512" w14:textId="77777777">
        <w:tc>
          <w:tcPr>
            <w:tcW w:w="0" w:type="auto"/>
          </w:tcPr>
          <w:p w14:paraId="42EC950F" w14:textId="77777777" w:rsidR="000A6D05" w:rsidRDefault="00000000">
            <w:pPr>
              <w:pStyle w:val="Compact"/>
            </w:pPr>
            <w:r>
              <w:t>(u &gt; 75 %)</w:t>
            </w:r>
          </w:p>
        </w:tc>
        <w:tc>
          <w:tcPr>
            <w:tcW w:w="0" w:type="auto"/>
          </w:tcPr>
          <w:p w14:paraId="42EC9510" w14:textId="77777777" w:rsidR="000A6D05" w:rsidRDefault="00000000">
            <w:pPr>
              <w:pStyle w:val="Compact"/>
            </w:pPr>
            <w:r>
              <w:t>90 %</w:t>
            </w:r>
          </w:p>
        </w:tc>
        <w:tc>
          <w:tcPr>
            <w:tcW w:w="0" w:type="auto"/>
          </w:tcPr>
          <w:p w14:paraId="42EC9511" w14:textId="77777777" w:rsidR="000A6D05" w:rsidRDefault="00000000">
            <w:pPr>
              <w:pStyle w:val="Compact"/>
            </w:pPr>
            <w:r>
              <w:t>10 %</w:t>
            </w:r>
          </w:p>
        </w:tc>
      </w:tr>
    </w:tbl>
    <w:p w14:paraId="42EC9513" w14:textId="77777777" w:rsidR="000A6D05" w:rsidRDefault="00000000">
      <w:pPr>
        <w:pStyle w:val="BodyText"/>
      </w:pPr>
      <w:r>
        <w:t>This dynamic encourages capital supply when utilisation is high and preserves protocol revenue when utilisation is low.</w:t>
      </w:r>
    </w:p>
    <w:p w14:paraId="42EC9514" w14:textId="77777777" w:rsidR="000A6D05" w:rsidRDefault="00000000">
      <w:pPr>
        <w:pStyle w:val="Heading2"/>
      </w:pPr>
      <w:bookmarkStart w:id="44" w:name="protocol-revenue-composition"/>
      <w:bookmarkEnd w:id="43"/>
      <w:r>
        <w:t>7.4 Protocol Revenue Composition</w:t>
      </w:r>
    </w:p>
    <w:p w14:paraId="42EC9515" w14:textId="77777777" w:rsidR="000A6D05" w:rsidRDefault="00000000">
      <w:pPr>
        <w:pStyle w:val="FirstParagraph"/>
      </w:pPr>
      <w:r>
        <w:t>Protocol operations revenue comprises:</w:t>
      </w:r>
    </w:p>
    <w:p w14:paraId="42EC9516" w14:textId="77777777" w:rsidR="000A6D05" w:rsidRDefault="00000000">
      <w:pPr>
        <w:pStyle w:val="Compact"/>
        <w:numPr>
          <w:ilvl w:val="0"/>
          <w:numId w:val="22"/>
        </w:numPr>
      </w:pPr>
      <w:r>
        <w:t>Protocol share of term fees.</w:t>
      </w:r>
    </w:p>
    <w:p w14:paraId="42EC9517" w14:textId="77777777" w:rsidR="000A6D05" w:rsidRDefault="00000000">
      <w:pPr>
        <w:pStyle w:val="Compact"/>
        <w:numPr>
          <w:ilvl w:val="0"/>
          <w:numId w:val="22"/>
        </w:numPr>
      </w:pPr>
      <w:r>
        <w:t>Liquidation fees (3 % of financing principal) applied only in forced liquidations.</w:t>
      </w:r>
    </w:p>
    <w:p w14:paraId="42EC9518" w14:textId="77777777" w:rsidR="000A6D05" w:rsidRDefault="00000000">
      <w:pPr>
        <w:pStyle w:val="Compact"/>
        <w:numPr>
          <w:ilvl w:val="0"/>
          <w:numId w:val="22"/>
        </w:numPr>
      </w:pPr>
      <w:r>
        <w:t>Protocol override (4 % of user excess profit) from carry‑enabled financings.</w:t>
      </w:r>
    </w:p>
    <w:p w14:paraId="42EC9519" w14:textId="77777777" w:rsidR="000A6D05" w:rsidRDefault="00000000">
      <w:pPr>
        <w:pStyle w:val="Compact"/>
        <w:numPr>
          <w:ilvl w:val="0"/>
          <w:numId w:val="22"/>
        </w:numPr>
      </w:pPr>
      <w:r>
        <w:t>Staking multipliers from locked XRS positions (see Section 10).</w:t>
      </w:r>
    </w:p>
    <w:p w14:paraId="42EC951A" w14:textId="77777777" w:rsidR="000A6D05" w:rsidRDefault="00000000">
      <w:pPr>
        <w:pStyle w:val="FirstParagraph"/>
      </w:pPr>
      <w:r>
        <w:t>All protocol revenue flows to XRS stakers, subject to the treasury compounding policy; none accrues directly to the treasury or developers.</w:t>
      </w:r>
    </w:p>
    <w:p w14:paraId="42EC951B" w14:textId="77777777" w:rsidR="000A6D05" w:rsidRDefault="00000000">
      <w:pPr>
        <w:pStyle w:val="Heading2"/>
      </w:pPr>
      <w:bookmarkStart w:id="45" w:name="user-pricing-competitiveness"/>
      <w:bookmarkEnd w:id="44"/>
      <w:r>
        <w:t>7.5 User Pricing Competitiveness</w:t>
      </w:r>
    </w:p>
    <w:p w14:paraId="42EC951C" w14:textId="77777777" w:rsidR="000A6D05" w:rsidRDefault="00000000">
      <w:pPr>
        <w:pStyle w:val="FirstParagraph"/>
      </w:pPr>
      <w:r>
        <w:t xml:space="preserve">Borrowing APRs often exceed 10–20 % and vary constantly. Centralised margin trading adds hidden interest and liquidation spreads. By contrast, X‑Leverage charges ~0.3–0.4 % per month for carry‑enabled terms and ~0.12–0.14 % per week for short terms. Including </w:t>
      </w:r>
      <w:r>
        <w:lastRenderedPageBreak/>
        <w:t>carry, total annual cost averages 4–5 %, on par with prime‑brokerage financing and far lower than most DeFi alternatives.</w:t>
      </w:r>
    </w:p>
    <w:p w14:paraId="42EC951D" w14:textId="77777777" w:rsidR="000A6D05" w:rsidRDefault="00000000">
      <w:pPr>
        <w:pStyle w:val="Heading2"/>
      </w:pPr>
      <w:bookmarkStart w:id="46" w:name="illustrative-examples"/>
      <w:bookmarkEnd w:id="45"/>
      <w:r>
        <w:t>7.6 Illustrative Examples</w:t>
      </w:r>
    </w:p>
    <w:p w14:paraId="42EC951E" w14:textId="77777777" w:rsidR="000A6D05" w:rsidRDefault="00000000">
      <w:pPr>
        <w:pStyle w:val="Compact"/>
        <w:numPr>
          <w:ilvl w:val="0"/>
          <w:numId w:val="23"/>
        </w:numPr>
      </w:pPr>
      <w:r>
        <w:rPr>
          <w:b/>
          <w:bCs/>
        </w:rPr>
        <w:t>Daily Financing:</w:t>
      </w:r>
      <w:r>
        <w:t xml:space="preserve"> Financing $10,000 for three days at 2 bps/day yields a fee of $6.</w:t>
      </w:r>
    </w:p>
    <w:p w14:paraId="42EC951F" w14:textId="77777777" w:rsidR="000A6D05" w:rsidRDefault="00000000">
      <w:pPr>
        <w:pStyle w:val="Compact"/>
        <w:numPr>
          <w:ilvl w:val="0"/>
          <w:numId w:val="23"/>
        </w:numPr>
      </w:pPr>
      <w:r>
        <w:rPr>
          <w:b/>
          <w:bCs/>
        </w:rPr>
        <w:t>Monthly Carry:</w:t>
      </w:r>
      <w:r>
        <w:t xml:space="preserve"> Financing $50,000 for one month at 0.4 % costs $200. If the position earns $4,000, carry pool = $800 (20 %); user keeps $3,200 (80 %); protocol override receives $160 (4 %); LP + treasury share $640 (16 %).</w:t>
      </w:r>
    </w:p>
    <w:p w14:paraId="42EC9520" w14:textId="77777777" w:rsidR="000A6D05" w:rsidRDefault="00000000">
      <w:r>
        <w:pict w14:anchorId="42EC95BF">
          <v:rect id="_x0000_i1031" style="width:0;height:1.5pt" o:hralign="center" o:hrstd="t" o:hr="t"/>
        </w:pict>
      </w:r>
    </w:p>
    <w:p w14:paraId="42EC9521" w14:textId="77777777" w:rsidR="000A6D05" w:rsidRDefault="00000000">
      <w:pPr>
        <w:pStyle w:val="Heading1"/>
      </w:pPr>
      <w:bookmarkStart w:id="47" w:name="lp-performance-model"/>
      <w:bookmarkEnd w:id="40"/>
      <w:bookmarkEnd w:id="46"/>
      <w:r>
        <w:t>8. LP Performance Model</w:t>
      </w:r>
    </w:p>
    <w:p w14:paraId="42EC9522" w14:textId="77777777" w:rsidR="000A6D05" w:rsidRDefault="00000000">
      <w:pPr>
        <w:pStyle w:val="Heading2"/>
      </w:pPr>
      <w:bookmarkStart w:id="48" w:name="yield-components"/>
      <w:r>
        <w:t>8.1 Yield Components</w:t>
      </w:r>
    </w:p>
    <w:p w14:paraId="42EC9523" w14:textId="77777777" w:rsidR="000A6D05" w:rsidRDefault="00000000">
      <w:pPr>
        <w:pStyle w:val="FirstParagraph"/>
      </w:pPr>
      <w:r>
        <w:t>LP yield derives from:</w:t>
      </w:r>
    </w:p>
    <w:p w14:paraId="42EC9524" w14:textId="77777777" w:rsidR="000A6D05" w:rsidRDefault="00000000">
      <w:pPr>
        <w:pStyle w:val="Compact"/>
        <w:numPr>
          <w:ilvl w:val="0"/>
          <w:numId w:val="24"/>
        </w:numPr>
      </w:pPr>
      <w:r>
        <w:rPr>
          <w:b/>
          <w:bCs/>
        </w:rPr>
        <w:t>Base Fee Yield:</w:t>
      </w:r>
      <w:r>
        <w:t xml:space="preserve"> The LP share of term fees, determined by utilisation.</w:t>
      </w:r>
    </w:p>
    <w:p w14:paraId="42EC9525" w14:textId="77777777" w:rsidR="000A6D05" w:rsidRDefault="00000000">
      <w:pPr>
        <w:pStyle w:val="Compact"/>
        <w:numPr>
          <w:ilvl w:val="0"/>
          <w:numId w:val="24"/>
        </w:numPr>
      </w:pPr>
      <w:r>
        <w:rPr>
          <w:b/>
          <w:bCs/>
        </w:rPr>
        <w:t>Performance Yield:</w:t>
      </w:r>
      <w:r>
        <w:t xml:space="preserve"> A pro‑rata share of 16 % of user excess profits from carry‑enabled terms.</w:t>
      </w:r>
    </w:p>
    <w:p w14:paraId="42EC9526" w14:textId="77777777" w:rsidR="000A6D05" w:rsidRDefault="00000000">
      <w:pPr>
        <w:pStyle w:val="Compact"/>
        <w:numPr>
          <w:ilvl w:val="0"/>
          <w:numId w:val="24"/>
        </w:numPr>
      </w:pPr>
      <w:r>
        <w:rPr>
          <w:b/>
          <w:bCs/>
        </w:rPr>
        <w:t>Idle Capital Yield:</w:t>
      </w:r>
      <w:r>
        <w:t xml:space="preserve"> Potential yield on unallocated capital when deployed into approved low‑risk strategies (subject to governance).</w:t>
      </w:r>
    </w:p>
    <w:p w14:paraId="42EC9527" w14:textId="77777777" w:rsidR="000A6D05" w:rsidRDefault="00000000">
      <w:pPr>
        <w:pStyle w:val="Heading2"/>
      </w:pPr>
      <w:bookmarkStart w:id="49" w:name="drivers-of-apy"/>
      <w:bookmarkEnd w:id="48"/>
      <w:r>
        <w:t>8.2 Drivers of APY</w:t>
      </w:r>
    </w:p>
    <w:p w14:paraId="42EC9528" w14:textId="77777777" w:rsidR="000A6D05" w:rsidRDefault="00000000">
      <w:pPr>
        <w:pStyle w:val="FirstParagraph"/>
      </w:pPr>
      <w:r>
        <w:t>LP APY depends on utilisation, term structure, market volatility, asset mix and treasury participation. Higher utilisation increases fee share; longer terms generate more fees and carry; volatile markets produce larger performance pools; assets with lower LTVs (SOL, XNT) may yield higher carry; treasury co‑financing smooths utilisation and stabilises yield.</w:t>
      </w:r>
    </w:p>
    <w:p w14:paraId="42EC9529" w14:textId="77777777" w:rsidR="000A6D05" w:rsidRDefault="00000000">
      <w:pPr>
        <w:pStyle w:val="Heading2"/>
      </w:pPr>
      <w:bookmarkStart w:id="50" w:name="apy-advantage-vs-lending-markets"/>
      <w:bookmarkEnd w:id="49"/>
      <w:r>
        <w:t>8.3 APY Advantage vs Lending Markets</w:t>
      </w:r>
    </w:p>
    <w:p w14:paraId="42EC952A" w14:textId="77777777" w:rsidR="000A6D05" w:rsidRDefault="00000000">
      <w:pPr>
        <w:pStyle w:val="FirstParagraph"/>
      </w:pPr>
      <w:r>
        <w:t>Lending protocols expose LPs to borrower default, interest‑rate volatility and yield dilution. X‑Leverage mitigates these risks through full collateralisation, fixed fees and deterministic liquidations. LPs enjoy stable base yield plus upside participation, leading to superior risk‑adjusted returns.</w:t>
      </w:r>
    </w:p>
    <w:p w14:paraId="42EC952B" w14:textId="77777777" w:rsidR="000A6D05" w:rsidRDefault="00000000">
      <w:pPr>
        <w:pStyle w:val="Heading2"/>
      </w:pPr>
      <w:bookmarkStart w:id="51" w:name="treasury-cofinancing-impact"/>
      <w:bookmarkEnd w:id="50"/>
      <w:r>
        <w:t>8.4 Treasury Co‑Financing Impact</w:t>
      </w:r>
    </w:p>
    <w:p w14:paraId="42EC952C" w14:textId="77777777" w:rsidR="000A6D05" w:rsidRDefault="00000000">
      <w:pPr>
        <w:pStyle w:val="Compact"/>
        <w:numPr>
          <w:ilvl w:val="0"/>
          <w:numId w:val="25"/>
        </w:numPr>
      </w:pPr>
      <w:r>
        <w:rPr>
          <w:b/>
          <w:bCs/>
        </w:rPr>
        <w:t>Stability:</w:t>
      </w:r>
      <w:r>
        <w:t xml:space="preserve"> The treasury fills gaps when LP utilisation dips, keeping utilisation high.</w:t>
      </w:r>
    </w:p>
    <w:p w14:paraId="42EC952D" w14:textId="77777777" w:rsidR="000A6D05" w:rsidRDefault="00000000">
      <w:pPr>
        <w:pStyle w:val="Compact"/>
        <w:numPr>
          <w:ilvl w:val="0"/>
          <w:numId w:val="25"/>
        </w:numPr>
      </w:pPr>
      <w:r>
        <w:rPr>
          <w:b/>
          <w:bCs/>
        </w:rPr>
        <w:t>Shared Upside:</w:t>
      </w:r>
      <w:r>
        <w:t xml:space="preserve"> Treasury capital receives the same performance share as LPs; it does not dilute LP returns.</w:t>
      </w:r>
    </w:p>
    <w:p w14:paraId="42EC952E" w14:textId="77777777" w:rsidR="000A6D05" w:rsidRDefault="00000000">
      <w:pPr>
        <w:pStyle w:val="Compact"/>
        <w:numPr>
          <w:ilvl w:val="0"/>
          <w:numId w:val="25"/>
        </w:numPr>
      </w:pPr>
      <w:r>
        <w:rPr>
          <w:b/>
          <w:bCs/>
        </w:rPr>
        <w:t>Reduced Yield Volatility:</w:t>
      </w:r>
      <w:r>
        <w:t xml:space="preserve"> Because the treasury deploys capital counter‑cyclically, LP yields vary less across market cycles.</w:t>
      </w:r>
    </w:p>
    <w:p w14:paraId="42EC952F" w14:textId="77777777" w:rsidR="000A6D05" w:rsidRDefault="00000000">
      <w:pPr>
        <w:pStyle w:val="Heading2"/>
      </w:pPr>
      <w:bookmarkStart w:id="52" w:name="illustrative-apy-scenario"/>
      <w:bookmarkEnd w:id="51"/>
      <w:r>
        <w:lastRenderedPageBreak/>
        <w:t>8.5 Illustrative APY Scenario</w:t>
      </w:r>
    </w:p>
    <w:p w14:paraId="42EC9530" w14:textId="77777777" w:rsidR="000A6D05" w:rsidRDefault="00000000">
      <w:pPr>
        <w:pStyle w:val="FirstParagraph"/>
      </w:pPr>
      <w:r>
        <w:t>Assume LP capital = $3 million, treasury capital = $3 million, utilisation = 90 %, average fee = 35 bps/month and average user PnL = 8 %/month on carry‑eligible positions. Annualised base yield = 3.78 %; performance yield ≈ 10.7 %; total LP APY ≈ 14.5 %. Treasury APY is lower in percentage terms because its capital base is larger, preserving fairness to LPs while still generating substantial treasury earnings.</w:t>
      </w:r>
    </w:p>
    <w:p w14:paraId="42EC9531" w14:textId="77777777" w:rsidR="000A6D05" w:rsidRDefault="00000000">
      <w:r>
        <w:pict w14:anchorId="42EC95C0">
          <v:rect id="_x0000_i1032" style="width:0;height:1.5pt" o:hralign="center" o:hrstd="t" o:hr="t"/>
        </w:pict>
      </w:r>
    </w:p>
    <w:p w14:paraId="42EC9532" w14:textId="77777777" w:rsidR="000A6D05" w:rsidRDefault="00000000">
      <w:pPr>
        <w:pStyle w:val="Heading1"/>
      </w:pPr>
      <w:bookmarkStart w:id="53" w:name="performance-waterfall"/>
      <w:bookmarkEnd w:id="47"/>
      <w:bookmarkEnd w:id="52"/>
      <w:r>
        <w:t>9. Performance Waterfall</w:t>
      </w:r>
    </w:p>
    <w:p w14:paraId="42EC9533" w14:textId="77777777" w:rsidR="000A6D05" w:rsidRDefault="00000000">
      <w:pPr>
        <w:pStyle w:val="Heading2"/>
      </w:pPr>
      <w:bookmarkStart w:id="54" w:name="priority-of-payments"/>
      <w:r>
        <w:t>9.1 Priority of Payments</w:t>
      </w:r>
    </w:p>
    <w:p w14:paraId="42EC9534" w14:textId="77777777" w:rsidR="000A6D05" w:rsidRDefault="00000000">
      <w:pPr>
        <w:pStyle w:val="FirstParagraph"/>
      </w:pPr>
      <w:r>
        <w:t>During settlement of profitable carry‑enabled financings, cash flows follow a structured waterfall:</w:t>
      </w:r>
    </w:p>
    <w:p w14:paraId="42EC9535" w14:textId="77777777" w:rsidR="000A6D05" w:rsidRDefault="00000000">
      <w:pPr>
        <w:pStyle w:val="Compact"/>
        <w:numPr>
          <w:ilvl w:val="0"/>
          <w:numId w:val="26"/>
        </w:numPr>
      </w:pPr>
      <w:r>
        <w:rPr>
          <w:b/>
          <w:bCs/>
        </w:rPr>
        <w:t>Senior Obligations:</w:t>
      </w:r>
      <w:r>
        <w:t xml:space="preserve"> Repay financing principal and fixed term fee.</w:t>
      </w:r>
    </w:p>
    <w:p w14:paraId="42EC9536" w14:textId="77777777" w:rsidR="000A6D05" w:rsidRDefault="00000000">
      <w:pPr>
        <w:pStyle w:val="Compact"/>
        <w:numPr>
          <w:ilvl w:val="0"/>
          <w:numId w:val="26"/>
        </w:numPr>
      </w:pPr>
      <w:r>
        <w:rPr>
          <w:b/>
          <w:bCs/>
        </w:rPr>
        <w:t>Performance Pool:</w:t>
      </w:r>
      <w:r>
        <w:t xml:space="preserve"> Allocate 20 % of the user’s excess profit to the pool.</w:t>
      </w:r>
    </w:p>
    <w:p w14:paraId="42EC9537" w14:textId="77777777" w:rsidR="000A6D05" w:rsidRDefault="00000000">
      <w:pPr>
        <w:pStyle w:val="Compact"/>
        <w:numPr>
          <w:ilvl w:val="0"/>
          <w:numId w:val="26"/>
        </w:numPr>
      </w:pPr>
      <w:r>
        <w:rPr>
          <w:b/>
          <w:bCs/>
        </w:rPr>
        <w:t>Distribution:</w:t>
      </w:r>
      <w:r>
        <w:t xml:space="preserve"> Within the pool, 4 % of total excess profit goes to protocol operations (override); 16 % goes to LPs and treasury proportional to their capital contribution.</w:t>
      </w:r>
    </w:p>
    <w:p w14:paraId="42EC9538" w14:textId="77777777" w:rsidR="000A6D05" w:rsidRDefault="00000000">
      <w:pPr>
        <w:pStyle w:val="Compact"/>
        <w:numPr>
          <w:ilvl w:val="0"/>
          <w:numId w:val="26"/>
        </w:numPr>
      </w:pPr>
      <w:r>
        <w:rPr>
          <w:b/>
          <w:bCs/>
        </w:rPr>
        <w:t>User Residual:</w:t>
      </w:r>
      <w:r>
        <w:t xml:space="preserve"> The user receives the remaining 80 % of excess profit.</w:t>
      </w:r>
    </w:p>
    <w:p w14:paraId="42EC9539" w14:textId="77777777" w:rsidR="000A6D05" w:rsidRDefault="00000000">
      <w:pPr>
        <w:pStyle w:val="Heading2"/>
      </w:pPr>
      <w:bookmarkStart w:id="55" w:name="mathematical-representation"/>
      <w:bookmarkEnd w:id="54"/>
      <w:r>
        <w:t>9.2 Mathematical Representation</w:t>
      </w:r>
    </w:p>
    <w:p w14:paraId="42EC953A" w14:textId="77777777" w:rsidR="000A6D05" w:rsidRDefault="00000000">
      <w:pPr>
        <w:pStyle w:val="FirstParagraph"/>
      </w:pPr>
      <w:r>
        <w:t>Let (E) be the excess profit, (x) the LP capital fraction and (y = 1 - x) the treasury fraction. Then:</w:t>
      </w:r>
    </w:p>
    <w:p w14:paraId="42EC953B" w14:textId="77777777" w:rsidR="000A6D05" w:rsidRDefault="00000000">
      <w:pPr>
        <w:pStyle w:val="Compact"/>
        <w:numPr>
          <w:ilvl w:val="0"/>
          <w:numId w:val="27"/>
        </w:numPr>
      </w:pPr>
      <w:r>
        <w:t>User’s share = (0.80,E).</w:t>
      </w:r>
    </w:p>
    <w:p w14:paraId="42EC953C" w14:textId="77777777" w:rsidR="000A6D05" w:rsidRDefault="00000000">
      <w:pPr>
        <w:pStyle w:val="Compact"/>
        <w:numPr>
          <w:ilvl w:val="0"/>
          <w:numId w:val="27"/>
        </w:numPr>
      </w:pPr>
      <w:r>
        <w:t>Protocol override = (0.04,E).</w:t>
      </w:r>
    </w:p>
    <w:p w14:paraId="42EC953D" w14:textId="77777777" w:rsidR="000A6D05" w:rsidRDefault="00000000">
      <w:pPr>
        <w:pStyle w:val="Compact"/>
        <w:numPr>
          <w:ilvl w:val="0"/>
          <w:numId w:val="27"/>
        </w:numPr>
      </w:pPr>
      <w:r>
        <w:t>LP + Treasury share = (0.16,E).</w:t>
      </w:r>
    </w:p>
    <w:p w14:paraId="42EC953E" w14:textId="77777777" w:rsidR="000A6D05" w:rsidRDefault="00000000">
      <w:pPr>
        <w:pStyle w:val="Compact"/>
        <w:numPr>
          <w:ilvl w:val="0"/>
          <w:numId w:val="27"/>
        </w:numPr>
      </w:pPr>
      <w:r>
        <w:t>LP share = (x ,E).</w:t>
      </w:r>
    </w:p>
    <w:p w14:paraId="42EC953F" w14:textId="77777777" w:rsidR="000A6D05" w:rsidRDefault="00000000">
      <w:pPr>
        <w:pStyle w:val="Compact"/>
        <w:numPr>
          <w:ilvl w:val="0"/>
          <w:numId w:val="27"/>
        </w:numPr>
      </w:pPr>
      <w:r>
        <w:t>Treasury share = (y ,E).</w:t>
      </w:r>
    </w:p>
    <w:p w14:paraId="42EC9540" w14:textId="77777777" w:rsidR="000A6D05" w:rsidRDefault="00000000">
      <w:pPr>
        <w:pStyle w:val="Heading2"/>
      </w:pPr>
      <w:bookmarkStart w:id="56" w:name="scenario-analysis"/>
      <w:bookmarkEnd w:id="55"/>
      <w:r>
        <w:t>9.3 Scenario Analysis</w:t>
      </w:r>
    </w:p>
    <w:p w14:paraId="42EC9541" w14:textId="77777777" w:rsidR="000A6D05" w:rsidRDefault="00000000">
      <w:pPr>
        <w:pStyle w:val="FirstParagraph"/>
      </w:pPr>
      <w:r>
        <w:t>Four outcome scenarios illustrate the waterfall:</w:t>
      </w:r>
    </w:p>
    <w:p w14:paraId="42EC9542" w14:textId="77777777" w:rsidR="000A6D05" w:rsidRDefault="00000000">
      <w:pPr>
        <w:pStyle w:val="Compact"/>
        <w:numPr>
          <w:ilvl w:val="0"/>
          <w:numId w:val="28"/>
        </w:numPr>
      </w:pPr>
      <w:r>
        <w:rPr>
          <w:b/>
          <w:bCs/>
        </w:rPr>
        <w:t>Profitable Outcome:</w:t>
      </w:r>
      <w:r>
        <w:t xml:space="preserve"> Asset value exceeds obligations; carry applies and the waterfall distributes profits according to the above rules.</w:t>
      </w:r>
    </w:p>
    <w:p w14:paraId="42EC9543" w14:textId="77777777" w:rsidR="000A6D05" w:rsidRDefault="00000000">
      <w:pPr>
        <w:pStyle w:val="Compact"/>
        <w:numPr>
          <w:ilvl w:val="0"/>
          <w:numId w:val="28"/>
        </w:numPr>
      </w:pPr>
      <w:r>
        <w:rPr>
          <w:b/>
          <w:bCs/>
        </w:rPr>
        <w:t>Break‑Even:</w:t>
      </w:r>
      <w:r>
        <w:t xml:space="preserve"> Asset value equals obligations; no excess; the user simply receives their exposure minus obligations; LPs and treasury earn only base fees.</w:t>
      </w:r>
    </w:p>
    <w:p w14:paraId="42EC9544" w14:textId="77777777" w:rsidR="000A6D05" w:rsidRDefault="00000000">
      <w:pPr>
        <w:pStyle w:val="Compact"/>
        <w:numPr>
          <w:ilvl w:val="0"/>
          <w:numId w:val="28"/>
        </w:numPr>
      </w:pPr>
      <w:r>
        <w:rPr>
          <w:b/>
          <w:bCs/>
        </w:rPr>
        <w:t>Loss (Above Liquidation):</w:t>
      </w:r>
      <w:r>
        <w:t xml:space="preserve"> Asset value is below obligations but above liquidation threshold; collateral covers obligations; no excess or carry distribution.</w:t>
      </w:r>
    </w:p>
    <w:p w14:paraId="42EC9545" w14:textId="77777777" w:rsidR="000A6D05" w:rsidRDefault="00000000">
      <w:pPr>
        <w:pStyle w:val="Compact"/>
        <w:numPr>
          <w:ilvl w:val="0"/>
          <w:numId w:val="28"/>
        </w:numPr>
      </w:pPr>
      <w:r>
        <w:rPr>
          <w:b/>
          <w:bCs/>
        </w:rPr>
        <w:lastRenderedPageBreak/>
        <w:t>Forced Liquidation:</w:t>
      </w:r>
      <w:r>
        <w:t xml:space="preserve"> LTV breach triggers liquidation; collateral is sold, obligations are settled, a 3 % liquidation fee is applied and any residual returns to the user; carry is disabled.</w:t>
      </w:r>
    </w:p>
    <w:p w14:paraId="42EC9546" w14:textId="77777777" w:rsidR="000A6D05" w:rsidRDefault="00000000">
      <w:pPr>
        <w:pStyle w:val="FirstParagraph"/>
      </w:pPr>
      <w:r>
        <w:t>When a user holds multiple positions, carry calculations net profits and losses across positions. Aggregated excess profit (E_{} = _{i} E_i) determines the performance pool and protocol override, aligning incentives across portfolios.</w:t>
      </w:r>
    </w:p>
    <w:p w14:paraId="42EC9547" w14:textId="77777777" w:rsidR="000A6D05" w:rsidRDefault="00000000">
      <w:pPr>
        <w:pStyle w:val="Heading2"/>
      </w:pPr>
      <w:bookmarkStart w:id="57" w:name="alignment-of-interests"/>
      <w:bookmarkEnd w:id="56"/>
      <w:r>
        <w:t>9.4 Alignment of Interests</w:t>
      </w:r>
    </w:p>
    <w:p w14:paraId="42EC9548" w14:textId="77777777" w:rsidR="000A6D05" w:rsidRDefault="00000000">
      <w:pPr>
        <w:pStyle w:val="FirstParagraph"/>
      </w:pPr>
      <w:r>
        <w:t>The waterfall design mirrors private credit structures and aligns stakeholders:</w:t>
      </w:r>
    </w:p>
    <w:p w14:paraId="42EC9549" w14:textId="77777777" w:rsidR="000A6D05" w:rsidRDefault="00000000">
      <w:pPr>
        <w:pStyle w:val="Compact"/>
        <w:numPr>
          <w:ilvl w:val="0"/>
          <w:numId w:val="29"/>
        </w:numPr>
      </w:pPr>
      <w:r>
        <w:t>Users retain the majority of profits and know sharing rules upfront.</w:t>
      </w:r>
    </w:p>
    <w:p w14:paraId="42EC954A" w14:textId="77777777" w:rsidR="000A6D05" w:rsidRDefault="00000000">
      <w:pPr>
        <w:pStyle w:val="Compact"/>
        <w:numPr>
          <w:ilvl w:val="0"/>
          <w:numId w:val="29"/>
        </w:numPr>
      </w:pPr>
      <w:r>
        <w:t>LPs and treasury receive a fair share of upside, incentivising liquidity provision.</w:t>
      </w:r>
    </w:p>
    <w:p w14:paraId="42EC954B" w14:textId="77777777" w:rsidR="000A6D05" w:rsidRDefault="00000000">
      <w:pPr>
        <w:pStyle w:val="Compact"/>
        <w:numPr>
          <w:ilvl w:val="0"/>
          <w:numId w:val="29"/>
        </w:numPr>
      </w:pPr>
      <w:r>
        <w:t>The protocol override is minimal relative to private credit norms, ensuring sustainability without excessive extraction.</w:t>
      </w:r>
    </w:p>
    <w:p w14:paraId="42EC954C" w14:textId="77777777" w:rsidR="000A6D05" w:rsidRDefault="00000000">
      <w:pPr>
        <w:pStyle w:val="Compact"/>
        <w:numPr>
          <w:ilvl w:val="0"/>
          <w:numId w:val="29"/>
        </w:numPr>
      </w:pPr>
      <w:r>
        <w:t>Carry applies only to positive outcomes; losses are absorbed entirely by the user.</w:t>
      </w:r>
    </w:p>
    <w:p w14:paraId="42EC954D" w14:textId="77777777" w:rsidR="000A6D05" w:rsidRDefault="00000000">
      <w:r>
        <w:pict w14:anchorId="42EC95C1">
          <v:rect id="_x0000_i1033" style="width:0;height:1.5pt" o:hralign="center" o:hrstd="t" o:hr="t"/>
        </w:pict>
      </w:r>
    </w:p>
    <w:p w14:paraId="42EC954E" w14:textId="77777777" w:rsidR="000A6D05" w:rsidRDefault="00000000">
      <w:pPr>
        <w:pStyle w:val="Heading1"/>
      </w:pPr>
      <w:bookmarkStart w:id="58" w:name="tokenomics"/>
      <w:bookmarkEnd w:id="53"/>
      <w:bookmarkEnd w:id="57"/>
      <w:r>
        <w:t>10. Tokenomics</w:t>
      </w:r>
    </w:p>
    <w:p w14:paraId="42EC954F" w14:textId="77777777" w:rsidR="000A6D05" w:rsidRDefault="00000000">
      <w:pPr>
        <w:pStyle w:val="Heading2"/>
      </w:pPr>
      <w:bookmarkStart w:id="59" w:name="dualtoken-system"/>
      <w:r>
        <w:t>10.1 Dual‑Token System</w:t>
      </w:r>
    </w:p>
    <w:p w14:paraId="42EC9550" w14:textId="77777777" w:rsidR="000A6D05" w:rsidRDefault="00000000">
      <w:pPr>
        <w:pStyle w:val="FirstParagraph"/>
      </w:pPr>
      <w:r>
        <w:t>X‑Leverage employs two tokens:</w:t>
      </w:r>
    </w:p>
    <w:p w14:paraId="42EC9551" w14:textId="77777777" w:rsidR="000A6D05" w:rsidRDefault="00000000">
      <w:pPr>
        <w:pStyle w:val="Compact"/>
        <w:numPr>
          <w:ilvl w:val="0"/>
          <w:numId w:val="30"/>
        </w:numPr>
      </w:pPr>
      <w:r>
        <w:rPr>
          <w:b/>
          <w:bCs/>
        </w:rPr>
        <w:t>XGT (Governance Token):</w:t>
      </w:r>
      <w:r>
        <w:t xml:space="preserve"> Governs systemic risk parameters—asset listings, LTVs, liquidation thresholds, fee schedules, treasury participation and oracle selection. Supply is fixed and vested across community, team, strategic investors and treasury reserves.</w:t>
      </w:r>
    </w:p>
    <w:p w14:paraId="42EC9552" w14:textId="77777777" w:rsidR="000A6D05" w:rsidRDefault="00000000">
      <w:pPr>
        <w:pStyle w:val="Compact"/>
        <w:numPr>
          <w:ilvl w:val="0"/>
          <w:numId w:val="30"/>
        </w:numPr>
      </w:pPr>
      <w:r>
        <w:rPr>
          <w:b/>
          <w:bCs/>
        </w:rPr>
        <w:t>XRS (Revenue‑Share Token):</w:t>
      </w:r>
      <w:r>
        <w:t xml:space="preserve"> Entitles holders to 100 % of protocol operations revenue. XRS is minted when users stake capital to access revenue and burned upon unstaking. Holders may lock XRS for 12, 24 or 36 months, receiving multipliers of 1.3×, 1.6× or 2.0×, respectively.</w:t>
      </w:r>
    </w:p>
    <w:p w14:paraId="42EC9553" w14:textId="77777777" w:rsidR="000A6D05" w:rsidRDefault="00000000">
      <w:pPr>
        <w:pStyle w:val="FirstParagraph"/>
      </w:pPr>
      <w:r>
        <w:t>Separating governance from revenue mitigates regulatory risk and allows institutions to participate in governance or yield, as appropriate to their mandates.</w:t>
      </w:r>
    </w:p>
    <w:p w14:paraId="42EC9554" w14:textId="77777777" w:rsidR="000A6D05" w:rsidRDefault="00000000">
      <w:pPr>
        <w:pStyle w:val="Heading2"/>
      </w:pPr>
      <w:bookmarkStart w:id="60" w:name="supply-and-distribution"/>
      <w:bookmarkEnd w:id="59"/>
      <w:r>
        <w:t>10.2 Supply and Distribution</w:t>
      </w:r>
    </w:p>
    <w:p w14:paraId="42EC9555" w14:textId="77777777" w:rsidR="000A6D05" w:rsidRDefault="00000000">
      <w:pPr>
        <w:pStyle w:val="FirstParagraph"/>
      </w:pPr>
      <w:r>
        <w:rPr>
          <w:b/>
          <w:bCs/>
        </w:rPr>
        <w:t>XGT Allocation:</w:t>
      </w:r>
    </w:p>
    <w:tbl>
      <w:tblPr>
        <w:tblStyle w:val="Table"/>
        <w:tblW w:w="0" w:type="auto"/>
        <w:tblLook w:val="0020" w:firstRow="1" w:lastRow="0" w:firstColumn="0" w:lastColumn="0" w:noHBand="0" w:noVBand="0"/>
      </w:tblPr>
      <w:tblGrid>
        <w:gridCol w:w="2962"/>
        <w:gridCol w:w="1007"/>
        <w:gridCol w:w="3953"/>
      </w:tblGrid>
      <w:tr w:rsidR="000A6D05" w14:paraId="42EC9559" w14:textId="77777777" w:rsidTr="000A6D05">
        <w:trPr>
          <w:cnfStyle w:val="100000000000" w:firstRow="1" w:lastRow="0" w:firstColumn="0" w:lastColumn="0" w:oddVBand="0" w:evenVBand="0" w:oddHBand="0" w:evenHBand="0" w:firstRowFirstColumn="0" w:firstRowLastColumn="0" w:lastRowFirstColumn="0" w:lastRowLastColumn="0"/>
          <w:tblHeader/>
        </w:trPr>
        <w:tc>
          <w:tcPr>
            <w:tcW w:w="0" w:type="auto"/>
          </w:tcPr>
          <w:p w14:paraId="42EC9556" w14:textId="77777777" w:rsidR="000A6D05" w:rsidRDefault="00000000">
            <w:pPr>
              <w:pStyle w:val="Compact"/>
            </w:pPr>
            <w:r>
              <w:t>Allocation</w:t>
            </w:r>
          </w:p>
        </w:tc>
        <w:tc>
          <w:tcPr>
            <w:tcW w:w="0" w:type="auto"/>
          </w:tcPr>
          <w:p w14:paraId="42EC9557" w14:textId="77777777" w:rsidR="000A6D05" w:rsidRDefault="00000000">
            <w:pPr>
              <w:pStyle w:val="Compact"/>
            </w:pPr>
            <w:r>
              <w:t>Percent</w:t>
            </w:r>
          </w:p>
        </w:tc>
        <w:tc>
          <w:tcPr>
            <w:tcW w:w="0" w:type="auto"/>
          </w:tcPr>
          <w:p w14:paraId="42EC9558" w14:textId="77777777" w:rsidR="000A6D05" w:rsidRDefault="00000000">
            <w:pPr>
              <w:pStyle w:val="Compact"/>
            </w:pPr>
            <w:r>
              <w:t>Vesting Details</w:t>
            </w:r>
          </w:p>
        </w:tc>
      </w:tr>
      <w:tr w:rsidR="000A6D05" w14:paraId="42EC955D" w14:textId="77777777">
        <w:tc>
          <w:tcPr>
            <w:tcW w:w="0" w:type="auto"/>
          </w:tcPr>
          <w:p w14:paraId="42EC955A" w14:textId="77777777" w:rsidR="000A6D05" w:rsidRDefault="00000000">
            <w:pPr>
              <w:pStyle w:val="Compact"/>
            </w:pPr>
            <w:r>
              <w:t>Community &amp; Ecosystem</w:t>
            </w:r>
          </w:p>
        </w:tc>
        <w:tc>
          <w:tcPr>
            <w:tcW w:w="0" w:type="auto"/>
          </w:tcPr>
          <w:p w14:paraId="42EC955B" w14:textId="77777777" w:rsidR="000A6D05" w:rsidRDefault="00000000">
            <w:pPr>
              <w:pStyle w:val="Compact"/>
            </w:pPr>
            <w:r>
              <w:t>30 %</w:t>
            </w:r>
          </w:p>
        </w:tc>
        <w:tc>
          <w:tcPr>
            <w:tcW w:w="0" w:type="auto"/>
          </w:tcPr>
          <w:p w14:paraId="42EC955C" w14:textId="77777777" w:rsidR="000A6D05" w:rsidRDefault="00000000">
            <w:pPr>
              <w:pStyle w:val="Compact"/>
            </w:pPr>
            <w:r>
              <w:t>Incentives for LPs and user growth</w:t>
            </w:r>
          </w:p>
        </w:tc>
      </w:tr>
      <w:tr w:rsidR="000A6D05" w14:paraId="42EC9561" w14:textId="77777777">
        <w:tc>
          <w:tcPr>
            <w:tcW w:w="0" w:type="auto"/>
          </w:tcPr>
          <w:p w14:paraId="42EC955E" w14:textId="77777777" w:rsidR="000A6D05" w:rsidRDefault="00000000">
            <w:pPr>
              <w:pStyle w:val="Compact"/>
            </w:pPr>
            <w:r>
              <w:t>Team &amp; Advisors</w:t>
            </w:r>
          </w:p>
        </w:tc>
        <w:tc>
          <w:tcPr>
            <w:tcW w:w="0" w:type="auto"/>
          </w:tcPr>
          <w:p w14:paraId="42EC955F" w14:textId="77777777" w:rsidR="000A6D05" w:rsidRDefault="00000000">
            <w:pPr>
              <w:pStyle w:val="Compact"/>
            </w:pPr>
            <w:r>
              <w:t>25 %</w:t>
            </w:r>
          </w:p>
        </w:tc>
        <w:tc>
          <w:tcPr>
            <w:tcW w:w="0" w:type="auto"/>
          </w:tcPr>
          <w:p w14:paraId="42EC9560" w14:textId="77777777" w:rsidR="000A6D05" w:rsidRDefault="00000000">
            <w:pPr>
              <w:pStyle w:val="Compact"/>
            </w:pPr>
            <w:r>
              <w:t>Four‑year vesting with one‑year cliff</w:t>
            </w:r>
          </w:p>
        </w:tc>
      </w:tr>
      <w:tr w:rsidR="000A6D05" w14:paraId="42EC9565" w14:textId="77777777">
        <w:tc>
          <w:tcPr>
            <w:tcW w:w="0" w:type="auto"/>
          </w:tcPr>
          <w:p w14:paraId="42EC9562" w14:textId="77777777" w:rsidR="000A6D05" w:rsidRDefault="00000000">
            <w:pPr>
              <w:pStyle w:val="Compact"/>
            </w:pPr>
            <w:r>
              <w:t>Strategic Investors</w:t>
            </w:r>
          </w:p>
        </w:tc>
        <w:tc>
          <w:tcPr>
            <w:tcW w:w="0" w:type="auto"/>
          </w:tcPr>
          <w:p w14:paraId="42EC9563" w14:textId="77777777" w:rsidR="000A6D05" w:rsidRDefault="00000000">
            <w:pPr>
              <w:pStyle w:val="Compact"/>
            </w:pPr>
            <w:r>
              <w:t>15 %</w:t>
            </w:r>
          </w:p>
        </w:tc>
        <w:tc>
          <w:tcPr>
            <w:tcW w:w="0" w:type="auto"/>
          </w:tcPr>
          <w:p w14:paraId="42EC9564" w14:textId="77777777" w:rsidR="000A6D05" w:rsidRDefault="00000000">
            <w:pPr>
              <w:pStyle w:val="Compact"/>
            </w:pPr>
            <w:r>
              <w:t>Two‑year vesting</w:t>
            </w:r>
          </w:p>
        </w:tc>
      </w:tr>
      <w:tr w:rsidR="000A6D05" w14:paraId="42EC9569" w14:textId="77777777">
        <w:tc>
          <w:tcPr>
            <w:tcW w:w="0" w:type="auto"/>
          </w:tcPr>
          <w:p w14:paraId="42EC9566" w14:textId="77777777" w:rsidR="000A6D05" w:rsidRDefault="00000000">
            <w:pPr>
              <w:pStyle w:val="Compact"/>
            </w:pPr>
            <w:r>
              <w:t>Protocol Treasury Reserve</w:t>
            </w:r>
          </w:p>
        </w:tc>
        <w:tc>
          <w:tcPr>
            <w:tcW w:w="0" w:type="auto"/>
          </w:tcPr>
          <w:p w14:paraId="42EC9567" w14:textId="77777777" w:rsidR="000A6D05" w:rsidRDefault="00000000">
            <w:pPr>
              <w:pStyle w:val="Compact"/>
            </w:pPr>
            <w:r>
              <w:t>20 %</w:t>
            </w:r>
          </w:p>
        </w:tc>
        <w:tc>
          <w:tcPr>
            <w:tcW w:w="0" w:type="auto"/>
          </w:tcPr>
          <w:p w14:paraId="42EC9568" w14:textId="77777777" w:rsidR="000A6D05" w:rsidRDefault="00000000">
            <w:pPr>
              <w:pStyle w:val="Compact"/>
            </w:pPr>
            <w:r>
              <w:t>Controlled by governance</w:t>
            </w:r>
          </w:p>
        </w:tc>
      </w:tr>
      <w:tr w:rsidR="000A6D05" w14:paraId="42EC956D" w14:textId="77777777">
        <w:tc>
          <w:tcPr>
            <w:tcW w:w="0" w:type="auto"/>
          </w:tcPr>
          <w:p w14:paraId="42EC956A" w14:textId="77777777" w:rsidR="000A6D05" w:rsidRDefault="00000000">
            <w:pPr>
              <w:pStyle w:val="Compact"/>
            </w:pPr>
            <w:r>
              <w:lastRenderedPageBreak/>
              <w:t>Liquidity &amp; Market Making</w:t>
            </w:r>
          </w:p>
        </w:tc>
        <w:tc>
          <w:tcPr>
            <w:tcW w:w="0" w:type="auto"/>
          </w:tcPr>
          <w:p w14:paraId="42EC956B" w14:textId="77777777" w:rsidR="000A6D05" w:rsidRDefault="00000000">
            <w:pPr>
              <w:pStyle w:val="Compact"/>
            </w:pPr>
            <w:r>
              <w:t>10 %</w:t>
            </w:r>
          </w:p>
        </w:tc>
        <w:tc>
          <w:tcPr>
            <w:tcW w:w="0" w:type="auto"/>
          </w:tcPr>
          <w:p w14:paraId="42EC956C" w14:textId="77777777" w:rsidR="000A6D05" w:rsidRDefault="00000000">
            <w:pPr>
              <w:pStyle w:val="Compact"/>
            </w:pPr>
            <w:r>
              <w:t>Unlocks at TGE for market health</w:t>
            </w:r>
          </w:p>
        </w:tc>
      </w:tr>
    </w:tbl>
    <w:p w14:paraId="42EC956E" w14:textId="77777777" w:rsidR="000A6D05" w:rsidRDefault="00000000">
      <w:pPr>
        <w:pStyle w:val="BodyText"/>
      </w:pPr>
      <w:r>
        <w:t>XGT has a capped supply; no further minting occurs beyond TGE.</w:t>
      </w:r>
    </w:p>
    <w:p w14:paraId="42EC956F" w14:textId="77777777" w:rsidR="000A6D05" w:rsidRDefault="00000000">
      <w:pPr>
        <w:pStyle w:val="BodyText"/>
      </w:pPr>
      <w:r>
        <w:rPr>
          <w:b/>
          <w:bCs/>
        </w:rPr>
        <w:t>XRS Minting Mechanics:</w:t>
      </w:r>
    </w:p>
    <w:p w14:paraId="42EC9570" w14:textId="77777777" w:rsidR="000A6D05" w:rsidRDefault="00000000">
      <w:pPr>
        <w:pStyle w:val="BodyText"/>
      </w:pPr>
      <w:r>
        <w:t>XRS supply is elastic and tied to staked capital. Because all protocol revenue flows to XRS holders, the intrinsic value per token increases as the protocol scales. There is no continuous inflation; tokens are minted upon stake and burned upon unstake.</w:t>
      </w:r>
    </w:p>
    <w:p w14:paraId="42EC9571" w14:textId="77777777" w:rsidR="000A6D05" w:rsidRDefault="00000000">
      <w:pPr>
        <w:pStyle w:val="Heading2"/>
      </w:pPr>
      <w:bookmarkStart w:id="61" w:name="emission-schedule-and-vesting"/>
      <w:bookmarkEnd w:id="60"/>
      <w:r>
        <w:t>10.3 Emission Schedule and Vesting</w:t>
      </w:r>
    </w:p>
    <w:p w14:paraId="42EC9572" w14:textId="77777777" w:rsidR="000A6D05" w:rsidRDefault="00000000">
      <w:pPr>
        <w:pStyle w:val="FirstParagraph"/>
      </w:pPr>
      <w:r>
        <w:t>At TGE, XGT is distributed according to the allocation above. Team, advisor and investor tokens vest linearly after a lockup. Some XGT may be time‑locked to prevent unilateral parameter changes. XRS is minted only when new capital is staked, maintaining a one‑to‑one correspondence between staked value and token supply.</w:t>
      </w:r>
    </w:p>
    <w:p w14:paraId="42EC9573" w14:textId="77777777" w:rsidR="000A6D05" w:rsidRDefault="00000000">
      <w:pPr>
        <w:pStyle w:val="Heading2"/>
      </w:pPr>
      <w:bookmarkStart w:id="62" w:name="treasury-compounding"/>
      <w:bookmarkEnd w:id="61"/>
      <w:r>
        <w:t>10.4 Treasury Compounding</w:t>
      </w:r>
    </w:p>
    <w:p w14:paraId="42EC9574" w14:textId="77777777" w:rsidR="000A6D05" w:rsidRDefault="00000000">
      <w:pPr>
        <w:pStyle w:val="FirstParagraph"/>
      </w:pPr>
      <w:r>
        <w:t>The treasury co‑finances up to 50 % of each financing and allocates 30 % of its earnings into XRS staked for long durations (12–36 months). This compounding grows the treasury’s share of revenue and governance over time and aligns it with LPs. The remaining 70 % of earnings fund operations, development, audits and contingencies.</w:t>
      </w:r>
    </w:p>
    <w:p w14:paraId="42EC9575" w14:textId="77777777" w:rsidR="000A6D05" w:rsidRDefault="00000000">
      <w:pPr>
        <w:pStyle w:val="Heading2"/>
      </w:pPr>
      <w:bookmarkStart w:id="63" w:name="value-accrual"/>
      <w:bookmarkEnd w:id="62"/>
      <w:r>
        <w:t>10.5 Value Accrual</w:t>
      </w:r>
    </w:p>
    <w:p w14:paraId="42EC9576" w14:textId="77777777" w:rsidR="000A6D05" w:rsidRDefault="00000000">
      <w:pPr>
        <w:pStyle w:val="Compact"/>
        <w:numPr>
          <w:ilvl w:val="0"/>
          <w:numId w:val="31"/>
        </w:numPr>
      </w:pPr>
      <w:r>
        <w:rPr>
          <w:b/>
          <w:bCs/>
        </w:rPr>
        <w:t>XGT:</w:t>
      </w:r>
      <w:r>
        <w:t xml:space="preserve"> Accrues indirect value through governance influence; as the protocol generates more revenue, control over risk parameters becomes more valuable.</w:t>
      </w:r>
    </w:p>
    <w:p w14:paraId="42EC9577" w14:textId="77777777" w:rsidR="000A6D05" w:rsidRDefault="00000000">
      <w:pPr>
        <w:pStyle w:val="Compact"/>
        <w:numPr>
          <w:ilvl w:val="0"/>
          <w:numId w:val="31"/>
        </w:numPr>
      </w:pPr>
      <w:r>
        <w:rPr>
          <w:b/>
          <w:bCs/>
        </w:rPr>
        <w:t>XRS:</w:t>
      </w:r>
      <w:r>
        <w:t xml:space="preserve"> Accrues direct value via USDC distributions from term fees, liquidation fees and protocol override. Lock‑up multipliers reward long‑term commitment and increase governance weight.</w:t>
      </w:r>
    </w:p>
    <w:p w14:paraId="42EC9578" w14:textId="77777777" w:rsidR="000A6D05" w:rsidRDefault="00000000">
      <w:r>
        <w:pict w14:anchorId="42EC95C2">
          <v:rect id="_x0000_i1034" style="width:0;height:1.5pt" o:hralign="center" o:hrstd="t" o:hr="t"/>
        </w:pict>
      </w:r>
    </w:p>
    <w:p w14:paraId="42EC9579" w14:textId="77777777" w:rsidR="000A6D05" w:rsidRDefault="00000000">
      <w:pPr>
        <w:pStyle w:val="Heading1"/>
      </w:pPr>
      <w:bookmarkStart w:id="64" w:name="governance-framework"/>
      <w:bookmarkEnd w:id="58"/>
      <w:bookmarkEnd w:id="63"/>
      <w:r>
        <w:t>11. Governance Framework</w:t>
      </w:r>
    </w:p>
    <w:p w14:paraId="42EC957A" w14:textId="77777777" w:rsidR="000A6D05" w:rsidRDefault="00000000">
      <w:pPr>
        <w:pStyle w:val="Heading2"/>
      </w:pPr>
      <w:bookmarkStart w:id="65" w:name="duallayer-governance"/>
      <w:r>
        <w:t>11.1 Dual‑Layer Governance</w:t>
      </w:r>
    </w:p>
    <w:p w14:paraId="42EC957B" w14:textId="77777777" w:rsidR="000A6D05" w:rsidRDefault="00000000">
      <w:pPr>
        <w:pStyle w:val="FirstParagraph"/>
      </w:pPr>
      <w:r>
        <w:t>X‑Leverage divides governance across two tokens:</w:t>
      </w:r>
    </w:p>
    <w:p w14:paraId="42EC957C" w14:textId="77777777" w:rsidR="000A6D05" w:rsidRDefault="00000000">
      <w:pPr>
        <w:pStyle w:val="Compact"/>
        <w:numPr>
          <w:ilvl w:val="0"/>
          <w:numId w:val="32"/>
        </w:numPr>
      </w:pPr>
      <w:r>
        <w:rPr>
          <w:b/>
          <w:bCs/>
        </w:rPr>
        <w:t>Macro Governance via XGT:</w:t>
      </w:r>
      <w:r>
        <w:t xml:space="preserve"> Controls systemic risk parameters (MaxLTV, liquidation thresholds, fee schedules, oracle selection) and fundamental upgrades. Proposals require quorum and supermajority approval. Emergency powers allow multisig pause and parameter freezing.</w:t>
      </w:r>
    </w:p>
    <w:p w14:paraId="42EC957D" w14:textId="77777777" w:rsidR="000A6D05" w:rsidRDefault="00000000">
      <w:pPr>
        <w:pStyle w:val="Compact"/>
        <w:numPr>
          <w:ilvl w:val="0"/>
          <w:numId w:val="32"/>
        </w:numPr>
      </w:pPr>
      <w:r>
        <w:rPr>
          <w:b/>
          <w:bCs/>
        </w:rPr>
        <w:t>Economic Governance via XRS:</w:t>
      </w:r>
      <w:r>
        <w:t xml:space="preserve"> Determines revenue distribution mechanics—staking multipliers, lock durations, performance fee weights. This empowers those who earn the revenue to govern its distribution.</w:t>
      </w:r>
    </w:p>
    <w:p w14:paraId="42EC957E" w14:textId="77777777" w:rsidR="000A6D05" w:rsidRDefault="00000000">
      <w:pPr>
        <w:pStyle w:val="Heading2"/>
      </w:pPr>
      <w:bookmarkStart w:id="66" w:name="proposal-lifecycle"/>
      <w:bookmarkEnd w:id="65"/>
      <w:r>
        <w:lastRenderedPageBreak/>
        <w:t>11.2 Proposal Lifecycle</w:t>
      </w:r>
    </w:p>
    <w:p w14:paraId="42EC957F" w14:textId="77777777" w:rsidR="000A6D05" w:rsidRDefault="00000000">
      <w:pPr>
        <w:pStyle w:val="Compact"/>
        <w:numPr>
          <w:ilvl w:val="0"/>
          <w:numId w:val="33"/>
        </w:numPr>
      </w:pPr>
      <w:r>
        <w:rPr>
          <w:b/>
          <w:bCs/>
        </w:rPr>
        <w:t>Creation:</w:t>
      </w:r>
      <w:r>
        <w:t xml:space="preserve"> A proposer stakes XGT or XRS as bond and submits a proposal detailing the change.</w:t>
      </w:r>
    </w:p>
    <w:p w14:paraId="42EC9580" w14:textId="77777777" w:rsidR="000A6D05" w:rsidRDefault="00000000">
      <w:pPr>
        <w:pStyle w:val="Compact"/>
        <w:numPr>
          <w:ilvl w:val="0"/>
          <w:numId w:val="33"/>
        </w:numPr>
      </w:pPr>
      <w:r>
        <w:rPr>
          <w:b/>
          <w:bCs/>
        </w:rPr>
        <w:t>Discussion:</w:t>
      </w:r>
      <w:r>
        <w:t xml:space="preserve"> Proposals undergo a seven‑day forum discussion.</w:t>
      </w:r>
    </w:p>
    <w:p w14:paraId="42EC9581" w14:textId="77777777" w:rsidR="000A6D05" w:rsidRDefault="00000000">
      <w:pPr>
        <w:pStyle w:val="Compact"/>
        <w:numPr>
          <w:ilvl w:val="0"/>
          <w:numId w:val="33"/>
        </w:numPr>
      </w:pPr>
      <w:r>
        <w:rPr>
          <w:b/>
          <w:bCs/>
        </w:rPr>
        <w:t>Voting:</w:t>
      </w:r>
      <w:r>
        <w:t xml:space="preserve"> A three‑ to seven‑day vote follows. Tokens vote with weights proportional to their lock multipliers.</w:t>
      </w:r>
    </w:p>
    <w:p w14:paraId="42EC9582" w14:textId="77777777" w:rsidR="000A6D05" w:rsidRDefault="00000000">
      <w:pPr>
        <w:pStyle w:val="Compact"/>
        <w:numPr>
          <w:ilvl w:val="0"/>
          <w:numId w:val="33"/>
        </w:numPr>
      </w:pPr>
      <w:r>
        <w:rPr>
          <w:b/>
          <w:bCs/>
        </w:rPr>
        <w:t>Outcome:</w:t>
      </w:r>
      <w:r>
        <w:t xml:space="preserve"> A proposal passes if it reaches quorum (e.g. 15 % of supply) and supermajority (e.g. 67 %). It is then queued in a timelock.</w:t>
      </w:r>
    </w:p>
    <w:p w14:paraId="42EC9583" w14:textId="77777777" w:rsidR="000A6D05" w:rsidRDefault="00000000">
      <w:pPr>
        <w:pStyle w:val="Compact"/>
        <w:numPr>
          <w:ilvl w:val="0"/>
          <w:numId w:val="33"/>
        </w:numPr>
      </w:pPr>
      <w:r>
        <w:rPr>
          <w:b/>
          <w:bCs/>
        </w:rPr>
        <w:t>Execution:</w:t>
      </w:r>
      <w:r>
        <w:t xml:space="preserve"> After a 48‑hour timelock, the proposal executes. Users can exit positions before changes take effect. Proposers retrieve their bond, encouraging thoughtful proposals.</w:t>
      </w:r>
    </w:p>
    <w:p w14:paraId="42EC9584" w14:textId="77777777" w:rsidR="000A6D05" w:rsidRDefault="00000000">
      <w:pPr>
        <w:pStyle w:val="Heading2"/>
      </w:pPr>
      <w:bookmarkStart w:id="67" w:name="checks-and-balances"/>
      <w:bookmarkEnd w:id="66"/>
      <w:r>
        <w:t>11.3 Checks and Balances</w:t>
      </w:r>
    </w:p>
    <w:p w14:paraId="42EC9585" w14:textId="77777777" w:rsidR="000A6D05" w:rsidRDefault="00000000">
      <w:pPr>
        <w:pStyle w:val="FirstParagraph"/>
      </w:pPr>
      <w:r>
        <w:t>XRS holders possess a soft veto on proposals affecting economic parameters. A veto requires 33 % of XRS votes; it can be overridden only by a higher XGT supermajority (e.g. 75 %), maintaining a balance between economic stakeholders and systemic risk guardians. Core modules can be frozen permanently by governance to lock in mature invariants.</w:t>
      </w:r>
    </w:p>
    <w:p w14:paraId="42EC9586" w14:textId="77777777" w:rsidR="000A6D05" w:rsidRDefault="00000000">
      <w:pPr>
        <w:pStyle w:val="Heading2"/>
      </w:pPr>
      <w:bookmarkStart w:id="68" w:name="dao-structure"/>
      <w:bookmarkEnd w:id="67"/>
      <w:r>
        <w:t>11.4 DAO Structure</w:t>
      </w:r>
    </w:p>
    <w:p w14:paraId="42EC9587" w14:textId="77777777" w:rsidR="000A6D05" w:rsidRDefault="00000000">
      <w:pPr>
        <w:pStyle w:val="FirstParagraph"/>
      </w:pPr>
      <w:r>
        <w:t>Governance is expected to delegate routine tasks to sub‑committees:</w:t>
      </w:r>
    </w:p>
    <w:p w14:paraId="42EC9588" w14:textId="77777777" w:rsidR="000A6D05" w:rsidRDefault="00000000">
      <w:pPr>
        <w:pStyle w:val="Compact"/>
        <w:numPr>
          <w:ilvl w:val="0"/>
          <w:numId w:val="34"/>
        </w:numPr>
      </w:pPr>
      <w:r>
        <w:rPr>
          <w:b/>
          <w:bCs/>
        </w:rPr>
        <w:t>Risk Management:</w:t>
      </w:r>
      <w:r>
        <w:t xml:space="preserve"> Monitors macro conditions, asset volatility and cross‑protocol contagion.</w:t>
      </w:r>
    </w:p>
    <w:p w14:paraId="42EC9589" w14:textId="77777777" w:rsidR="000A6D05" w:rsidRDefault="00000000">
      <w:pPr>
        <w:pStyle w:val="Compact"/>
        <w:numPr>
          <w:ilvl w:val="0"/>
          <w:numId w:val="34"/>
        </w:numPr>
      </w:pPr>
      <w:r>
        <w:rPr>
          <w:b/>
          <w:bCs/>
        </w:rPr>
        <w:t>Treasury Management:</w:t>
      </w:r>
      <w:r>
        <w:t xml:space="preserve"> Manages capital deployment and diversification of idle reserves.</w:t>
      </w:r>
    </w:p>
    <w:p w14:paraId="42EC958A" w14:textId="77777777" w:rsidR="000A6D05" w:rsidRDefault="00000000">
      <w:pPr>
        <w:pStyle w:val="Compact"/>
        <w:numPr>
          <w:ilvl w:val="0"/>
          <w:numId w:val="34"/>
        </w:numPr>
      </w:pPr>
      <w:r>
        <w:rPr>
          <w:b/>
          <w:bCs/>
        </w:rPr>
        <w:t>Product &amp; Integration:</w:t>
      </w:r>
      <w:r>
        <w:t xml:space="preserve"> Guides new product launches, cross‑chain support and real‑world asset integration.</w:t>
      </w:r>
    </w:p>
    <w:p w14:paraId="42EC958B" w14:textId="77777777" w:rsidR="000A6D05" w:rsidRDefault="00000000">
      <w:pPr>
        <w:pStyle w:val="Compact"/>
        <w:numPr>
          <w:ilvl w:val="0"/>
          <w:numId w:val="34"/>
        </w:numPr>
      </w:pPr>
      <w:r>
        <w:rPr>
          <w:b/>
          <w:bCs/>
        </w:rPr>
        <w:t>Compliance &amp; Legal:</w:t>
      </w:r>
      <w:r>
        <w:t xml:space="preserve"> Coordinates with counsel on KYC/AML and regulatory frameworks.</w:t>
      </w:r>
    </w:p>
    <w:p w14:paraId="42EC958C" w14:textId="77777777" w:rsidR="000A6D05" w:rsidRDefault="00000000">
      <w:pPr>
        <w:pStyle w:val="FirstParagraph"/>
      </w:pPr>
      <w:r>
        <w:t>Delegation enables experts to steward protocol operations while tokenholders maintain ultimate control.</w:t>
      </w:r>
    </w:p>
    <w:p w14:paraId="42EC958D" w14:textId="77777777" w:rsidR="000A6D05" w:rsidRDefault="00000000">
      <w:r>
        <w:pict w14:anchorId="42EC95C3">
          <v:rect id="_x0000_i1035" style="width:0;height:1.5pt" o:hralign="center" o:hrstd="t" o:hr="t"/>
        </w:pict>
      </w:r>
    </w:p>
    <w:p w14:paraId="42EC958E" w14:textId="77777777" w:rsidR="000A6D05" w:rsidRDefault="00000000">
      <w:pPr>
        <w:pStyle w:val="Heading1"/>
      </w:pPr>
      <w:bookmarkStart w:id="69" w:name="risk-and-compliance-considerations"/>
      <w:bookmarkEnd w:id="64"/>
      <w:bookmarkEnd w:id="68"/>
      <w:r>
        <w:t>12. Risk and Compliance Considerations</w:t>
      </w:r>
    </w:p>
    <w:p w14:paraId="42EC958F" w14:textId="77777777" w:rsidR="000A6D05" w:rsidRDefault="00000000">
      <w:pPr>
        <w:pStyle w:val="Heading2"/>
      </w:pPr>
      <w:bookmarkStart w:id="70" w:name="regulatory-context"/>
      <w:r>
        <w:t>12.1 Regulatory Context</w:t>
      </w:r>
    </w:p>
    <w:p w14:paraId="42EC9590" w14:textId="77777777" w:rsidR="000A6D05" w:rsidRDefault="00000000">
      <w:pPr>
        <w:pStyle w:val="FirstParagraph"/>
      </w:pPr>
      <w:r>
        <w:t>X‑Leverage is non‑custodial: users control collateral until deterministic liquidation or voluntary settlement. The protocol neither intermediates funds nor acts as a broker; it executes smart‑contract‑based financing agreements. Nevertheless, it must remain attentive to regulatory developments:</w:t>
      </w:r>
    </w:p>
    <w:p w14:paraId="42EC9591" w14:textId="77777777" w:rsidR="000A6D05" w:rsidRDefault="00000000">
      <w:pPr>
        <w:pStyle w:val="Compact"/>
        <w:numPr>
          <w:ilvl w:val="0"/>
          <w:numId w:val="35"/>
        </w:numPr>
      </w:pPr>
      <w:r>
        <w:rPr>
          <w:b/>
          <w:bCs/>
        </w:rPr>
        <w:lastRenderedPageBreak/>
        <w:t>KYC/AML:</w:t>
      </w:r>
      <w:r>
        <w:t xml:space="preserve"> On‑ramps and fiat gateways may require identity verification. Optional zero‑knowledge credentials could balance compliance with privacy.</w:t>
      </w:r>
    </w:p>
    <w:p w14:paraId="42EC9592" w14:textId="77777777" w:rsidR="000A6D05" w:rsidRDefault="00000000">
      <w:pPr>
        <w:pStyle w:val="Compact"/>
        <w:numPr>
          <w:ilvl w:val="0"/>
          <w:numId w:val="35"/>
        </w:numPr>
      </w:pPr>
      <w:r>
        <w:rPr>
          <w:b/>
          <w:bCs/>
        </w:rPr>
        <w:t>Securities Laws:</w:t>
      </w:r>
      <w:r>
        <w:t xml:space="preserve"> Separating governance (XGT) from revenue (XRS) reduces classification risk; tokens do not promise profits from others’ efforts.</w:t>
      </w:r>
    </w:p>
    <w:p w14:paraId="42EC9593" w14:textId="77777777" w:rsidR="000A6D05" w:rsidRDefault="00000000">
      <w:pPr>
        <w:pStyle w:val="Compact"/>
        <w:numPr>
          <w:ilvl w:val="0"/>
          <w:numId w:val="35"/>
        </w:numPr>
      </w:pPr>
      <w:r>
        <w:rPr>
          <w:b/>
          <w:bCs/>
        </w:rPr>
        <w:t>Jurisdictional Restrictions:</w:t>
      </w:r>
      <w:r>
        <w:t xml:space="preserve"> Interfaces may geofence users in restricted regions, while contracts remain permissionless.</w:t>
      </w:r>
    </w:p>
    <w:p w14:paraId="42EC9594" w14:textId="77777777" w:rsidR="000A6D05" w:rsidRDefault="00000000">
      <w:pPr>
        <w:pStyle w:val="Heading2"/>
      </w:pPr>
      <w:bookmarkStart w:id="71" w:name="smart-contract-audits"/>
      <w:bookmarkEnd w:id="70"/>
      <w:r>
        <w:t>12.2 Smart Contract Audits</w:t>
      </w:r>
    </w:p>
    <w:p w14:paraId="42EC9595" w14:textId="77777777" w:rsidR="000A6D05" w:rsidRDefault="00000000">
      <w:pPr>
        <w:pStyle w:val="FirstParagraph"/>
      </w:pPr>
      <w:r>
        <w:t>Prior to mainnet, all modules undergo multiple audits and formal verification to ensure invariants—such as collateral ≥ obligations—are satisfied. Bug bounties and continuous reviews complement initial audits.</w:t>
      </w:r>
    </w:p>
    <w:p w14:paraId="42EC9596" w14:textId="77777777" w:rsidR="000A6D05" w:rsidRDefault="00000000">
      <w:pPr>
        <w:pStyle w:val="Heading2"/>
      </w:pPr>
      <w:bookmarkStart w:id="72" w:name="risk-mitigation-and-insurance"/>
      <w:bookmarkEnd w:id="71"/>
      <w:r>
        <w:t>12.3 Risk Mitigation and Insurance</w:t>
      </w:r>
    </w:p>
    <w:p w14:paraId="42EC9597" w14:textId="77777777" w:rsidR="000A6D05" w:rsidRDefault="00000000">
      <w:pPr>
        <w:pStyle w:val="FirstParagraph"/>
      </w:pPr>
      <w:r>
        <w:t>Tail risks—extreme market gaps or oracle failures—cannot be eliminated entirely. The protocol reserves a portion of treasury funds for insurance. It may purchase cover from decentralised insurers or reinsurance markets. If a shortfall occurs due to contract failure or extreme market events, insurance helps protect LPs and maintain credibility.</w:t>
      </w:r>
    </w:p>
    <w:p w14:paraId="42EC9598" w14:textId="77777777" w:rsidR="000A6D05" w:rsidRDefault="00000000">
      <w:pPr>
        <w:pStyle w:val="Heading2"/>
      </w:pPr>
      <w:bookmarkStart w:id="73" w:name="attack-vectors-and-mitigations"/>
      <w:bookmarkEnd w:id="72"/>
      <w:r>
        <w:t>12.4 Attack Vectors and Mitigations</w:t>
      </w:r>
    </w:p>
    <w:p w14:paraId="42EC9599" w14:textId="77777777" w:rsidR="000A6D05" w:rsidRDefault="00000000">
      <w:pPr>
        <w:pStyle w:val="Compact"/>
        <w:numPr>
          <w:ilvl w:val="0"/>
          <w:numId w:val="36"/>
        </w:numPr>
      </w:pPr>
      <w:r>
        <w:rPr>
          <w:b/>
          <w:bCs/>
        </w:rPr>
        <w:t>Oracle Manipulation:</w:t>
      </w:r>
      <w:r>
        <w:t xml:space="preserve"> Mitigated by multi‑oracle design, TWAP filters and failover logic.</w:t>
      </w:r>
    </w:p>
    <w:p w14:paraId="42EC959A" w14:textId="77777777" w:rsidR="000A6D05" w:rsidRDefault="00000000">
      <w:pPr>
        <w:pStyle w:val="Compact"/>
        <w:numPr>
          <w:ilvl w:val="0"/>
          <w:numId w:val="36"/>
        </w:numPr>
      </w:pPr>
      <w:r>
        <w:rPr>
          <w:b/>
          <w:bCs/>
        </w:rPr>
        <w:t>MEV Liquidation Exploits:</w:t>
      </w:r>
      <w:r>
        <w:t xml:space="preserve"> Prevented by price snapshots, atomic liquidations and sequenced on‑chain execution.</w:t>
      </w:r>
    </w:p>
    <w:p w14:paraId="42EC959B" w14:textId="77777777" w:rsidR="000A6D05" w:rsidRDefault="00000000">
      <w:pPr>
        <w:pStyle w:val="Compact"/>
        <w:numPr>
          <w:ilvl w:val="0"/>
          <w:numId w:val="36"/>
        </w:numPr>
      </w:pPr>
      <w:r>
        <w:rPr>
          <w:b/>
          <w:bCs/>
        </w:rPr>
        <w:t>Governance Attacks:</w:t>
      </w:r>
      <w:r>
        <w:t xml:space="preserve"> Discouraged by proposal bonding, quorum and supermajority thresholds, soft vetoes, timelocks and multi‑sig emergency controls.</w:t>
      </w:r>
    </w:p>
    <w:p w14:paraId="42EC959C" w14:textId="77777777" w:rsidR="000A6D05" w:rsidRDefault="00000000">
      <w:pPr>
        <w:pStyle w:val="Compact"/>
        <w:numPr>
          <w:ilvl w:val="0"/>
          <w:numId w:val="36"/>
        </w:numPr>
      </w:pPr>
      <w:r>
        <w:rPr>
          <w:b/>
          <w:bCs/>
        </w:rPr>
        <w:t>Smart Contract Bugs:</w:t>
      </w:r>
      <w:r>
        <w:t xml:space="preserve"> Addressed through audits, formal verification, ongoing bounties and circuit breakers.</w:t>
      </w:r>
    </w:p>
    <w:p w14:paraId="42EC959D" w14:textId="77777777" w:rsidR="000A6D05" w:rsidRDefault="00000000">
      <w:r>
        <w:pict w14:anchorId="42EC95C4">
          <v:rect id="_x0000_i1036" style="width:0;height:1.5pt" o:hralign="center" o:hrstd="t" o:hr="t"/>
        </w:pict>
      </w:r>
    </w:p>
    <w:p w14:paraId="42EC959E" w14:textId="77777777" w:rsidR="000A6D05" w:rsidRDefault="00000000">
      <w:pPr>
        <w:pStyle w:val="Heading1"/>
      </w:pPr>
      <w:bookmarkStart w:id="74" w:name="roadmap-and-development-plan"/>
      <w:bookmarkEnd w:id="69"/>
      <w:bookmarkEnd w:id="73"/>
      <w:r>
        <w:t>13. Roadmap and Development Plan</w:t>
      </w:r>
    </w:p>
    <w:p w14:paraId="42EC959F" w14:textId="77777777" w:rsidR="000A6D05" w:rsidRDefault="00000000">
      <w:pPr>
        <w:pStyle w:val="Heading2"/>
      </w:pPr>
      <w:bookmarkStart w:id="75" w:name="shortterm-06-months"/>
      <w:r>
        <w:t>13.1 Short‑Term (0–6 Months)</w:t>
      </w:r>
    </w:p>
    <w:p w14:paraId="42EC95A0" w14:textId="77777777" w:rsidR="000A6D05" w:rsidRDefault="00000000">
      <w:pPr>
        <w:pStyle w:val="Compact"/>
        <w:numPr>
          <w:ilvl w:val="0"/>
          <w:numId w:val="37"/>
        </w:numPr>
      </w:pPr>
      <w:r>
        <w:rPr>
          <w:b/>
          <w:bCs/>
        </w:rPr>
        <w:t>Mainnet Launch (v1.0):</w:t>
      </w:r>
      <w:r>
        <w:t xml:space="preserve"> Support BTC, ETH, SOL and XNT financing with daily, weekly and monthly terms. Deploy LP vault, treasury and core governance modules.</w:t>
      </w:r>
    </w:p>
    <w:p w14:paraId="42EC95A1" w14:textId="77777777" w:rsidR="000A6D05" w:rsidRDefault="00000000">
      <w:pPr>
        <w:pStyle w:val="Compact"/>
        <w:numPr>
          <w:ilvl w:val="0"/>
          <w:numId w:val="37"/>
        </w:numPr>
      </w:pPr>
      <w:r>
        <w:rPr>
          <w:b/>
          <w:bCs/>
        </w:rPr>
        <w:t>User Interface:</w:t>
      </w:r>
      <w:r>
        <w:t xml:space="preserve"> Release an institutional‑grade dashboard with real‑time risk analytics and intuitive stake/unstake flows.</w:t>
      </w:r>
    </w:p>
    <w:p w14:paraId="42EC95A2" w14:textId="77777777" w:rsidR="000A6D05" w:rsidRDefault="00000000">
      <w:pPr>
        <w:pStyle w:val="Compact"/>
        <w:numPr>
          <w:ilvl w:val="0"/>
          <w:numId w:val="37"/>
        </w:numPr>
      </w:pPr>
      <w:r>
        <w:rPr>
          <w:b/>
          <w:bCs/>
        </w:rPr>
        <w:t>Cross‑Chain Collateral:</w:t>
      </w:r>
      <w:r>
        <w:t xml:space="preserve"> Add support for wrapped assets from Ethereum and other chains via bridges.</w:t>
      </w:r>
    </w:p>
    <w:p w14:paraId="42EC95A3" w14:textId="77777777" w:rsidR="000A6D05" w:rsidRDefault="00000000">
      <w:pPr>
        <w:pStyle w:val="Compact"/>
        <w:numPr>
          <w:ilvl w:val="0"/>
          <w:numId w:val="37"/>
        </w:numPr>
      </w:pPr>
      <w:r>
        <w:rPr>
          <w:b/>
          <w:bCs/>
        </w:rPr>
        <w:t>Audit Completion:</w:t>
      </w:r>
      <w:r>
        <w:t xml:space="preserve"> Perform final audits with multiple independent firms.</w:t>
      </w:r>
    </w:p>
    <w:p w14:paraId="42EC95A4" w14:textId="77777777" w:rsidR="000A6D05" w:rsidRDefault="00000000">
      <w:pPr>
        <w:pStyle w:val="Heading2"/>
      </w:pPr>
      <w:bookmarkStart w:id="76" w:name="midterm-618-months"/>
      <w:bookmarkEnd w:id="75"/>
      <w:r>
        <w:lastRenderedPageBreak/>
        <w:t>13.2 Mid‑Term (6–18 Months)</w:t>
      </w:r>
    </w:p>
    <w:p w14:paraId="42EC95A5" w14:textId="77777777" w:rsidR="000A6D05" w:rsidRDefault="00000000">
      <w:pPr>
        <w:pStyle w:val="Compact"/>
        <w:numPr>
          <w:ilvl w:val="0"/>
          <w:numId w:val="38"/>
        </w:numPr>
      </w:pPr>
      <w:r>
        <w:rPr>
          <w:b/>
          <w:bCs/>
        </w:rPr>
        <w:t>Real‑World Assets (RWAs):</w:t>
      </w:r>
      <w:r>
        <w:t xml:space="preserve"> Integrate tokenised Treasuries, corporate bonds and other high‑quality RWAs as collateral.</w:t>
      </w:r>
    </w:p>
    <w:p w14:paraId="42EC95A6" w14:textId="77777777" w:rsidR="000A6D05" w:rsidRDefault="00000000">
      <w:pPr>
        <w:pStyle w:val="Compact"/>
        <w:numPr>
          <w:ilvl w:val="0"/>
          <w:numId w:val="38"/>
        </w:numPr>
      </w:pPr>
      <w:r>
        <w:rPr>
          <w:b/>
          <w:bCs/>
        </w:rPr>
        <w:t>Cross‑Protocol Financing:</w:t>
      </w:r>
      <w:r>
        <w:t xml:space="preserve"> Enable financing to amplify LP positions in AMMs or yield farms with hedging mechanisms.</w:t>
      </w:r>
    </w:p>
    <w:p w14:paraId="42EC95A7" w14:textId="77777777" w:rsidR="000A6D05" w:rsidRDefault="00000000">
      <w:pPr>
        <w:pStyle w:val="Compact"/>
        <w:numPr>
          <w:ilvl w:val="0"/>
          <w:numId w:val="38"/>
        </w:numPr>
      </w:pPr>
      <w:r>
        <w:rPr>
          <w:b/>
          <w:bCs/>
        </w:rPr>
        <w:t>Automated Risk Adjusters:</w:t>
      </w:r>
      <w:r>
        <w:t xml:space="preserve"> Implement dynamic LTV and fee curves that respond to volatility and macro conditions via oracles.</w:t>
      </w:r>
    </w:p>
    <w:p w14:paraId="42EC95A8" w14:textId="77777777" w:rsidR="000A6D05" w:rsidRDefault="00000000">
      <w:pPr>
        <w:pStyle w:val="Compact"/>
        <w:numPr>
          <w:ilvl w:val="0"/>
          <w:numId w:val="38"/>
        </w:numPr>
      </w:pPr>
      <w:r>
        <w:rPr>
          <w:b/>
          <w:bCs/>
        </w:rPr>
        <w:t>Treasury Diversification:</w:t>
      </w:r>
      <w:r>
        <w:t xml:space="preserve"> Deploy idle reserves into safe yield‑bearing instruments (e.g. stable pools, T‑bill tokens) under governance oversight.</w:t>
      </w:r>
    </w:p>
    <w:p w14:paraId="42EC95A9" w14:textId="77777777" w:rsidR="000A6D05" w:rsidRDefault="00000000">
      <w:pPr>
        <w:pStyle w:val="Heading2"/>
      </w:pPr>
      <w:bookmarkStart w:id="77" w:name="longterm-18-months"/>
      <w:bookmarkEnd w:id="76"/>
      <w:r>
        <w:t>13.3 Long‑Term (18+ Months)</w:t>
      </w:r>
    </w:p>
    <w:p w14:paraId="42EC95AA" w14:textId="77777777" w:rsidR="000A6D05" w:rsidRDefault="00000000">
      <w:pPr>
        <w:pStyle w:val="Compact"/>
        <w:numPr>
          <w:ilvl w:val="0"/>
          <w:numId w:val="39"/>
        </w:numPr>
      </w:pPr>
      <w:r>
        <w:rPr>
          <w:b/>
          <w:bCs/>
        </w:rPr>
        <w:t>Regulatory Engagement:</w:t>
      </w:r>
      <w:r>
        <w:t xml:space="preserve"> Collaborate with regulators to define frameworks for decentralised financing and tokenised securities.</w:t>
      </w:r>
    </w:p>
    <w:p w14:paraId="42EC95AB" w14:textId="77777777" w:rsidR="000A6D05" w:rsidRDefault="00000000">
      <w:pPr>
        <w:pStyle w:val="Compact"/>
        <w:numPr>
          <w:ilvl w:val="0"/>
          <w:numId w:val="39"/>
        </w:numPr>
      </w:pPr>
      <w:r>
        <w:rPr>
          <w:b/>
          <w:bCs/>
        </w:rPr>
        <w:t>Global Off‑Chain Financing:</w:t>
      </w:r>
      <w:r>
        <w:t xml:space="preserve"> Partner with institutions to offer on‑chain structured leverage for tokenised equities, commodities and other instruments.</w:t>
      </w:r>
    </w:p>
    <w:p w14:paraId="42EC95AC" w14:textId="77777777" w:rsidR="000A6D05" w:rsidRDefault="00000000">
      <w:pPr>
        <w:pStyle w:val="Compact"/>
        <w:numPr>
          <w:ilvl w:val="0"/>
          <w:numId w:val="39"/>
        </w:numPr>
      </w:pPr>
      <w:r>
        <w:rPr>
          <w:b/>
          <w:bCs/>
        </w:rPr>
        <w:t>Full Decentralisation:</w:t>
      </w:r>
      <w:r>
        <w:t xml:space="preserve"> Gradually decentralise the front‑end and back‑end infrastructure to community governance.</w:t>
      </w:r>
    </w:p>
    <w:p w14:paraId="42EC95AD" w14:textId="77777777" w:rsidR="000A6D05" w:rsidRDefault="00000000">
      <w:pPr>
        <w:pStyle w:val="Compact"/>
        <w:numPr>
          <w:ilvl w:val="0"/>
          <w:numId w:val="39"/>
        </w:numPr>
      </w:pPr>
      <w:r>
        <w:rPr>
          <w:b/>
          <w:bCs/>
        </w:rPr>
        <w:t>Composability:</w:t>
      </w:r>
      <w:r>
        <w:t xml:space="preserve"> Integrate with other DeFi protocols—lending, perps, structured products—allowing users to build hedged strategies through simple financing instructions.</w:t>
      </w:r>
    </w:p>
    <w:p w14:paraId="42EC95AE" w14:textId="77777777" w:rsidR="000A6D05" w:rsidRDefault="00000000">
      <w:r>
        <w:pict w14:anchorId="42EC95C5">
          <v:rect id="_x0000_i1037" style="width:0;height:1.5pt" o:hralign="center" o:hrstd="t" o:hr="t"/>
        </w:pict>
      </w:r>
    </w:p>
    <w:p w14:paraId="42EC95AF" w14:textId="77777777" w:rsidR="000A6D05" w:rsidRDefault="00000000">
      <w:pPr>
        <w:pStyle w:val="Heading1"/>
      </w:pPr>
      <w:bookmarkStart w:id="78" w:name="conclusion"/>
      <w:bookmarkEnd w:id="74"/>
      <w:bookmarkEnd w:id="77"/>
      <w:r>
        <w:t>14. Conclusion</w:t>
      </w:r>
    </w:p>
    <w:p w14:paraId="42EC95B0" w14:textId="77777777" w:rsidR="000A6D05" w:rsidRDefault="00000000">
      <w:pPr>
        <w:pStyle w:val="FirstParagraph"/>
      </w:pPr>
      <w:r>
        <w:t>X‑Leverage pioneers a novel DeFi primitive: deterministic, fixed‑term margin financing. By combining predictable cost structures, deterministic liquidations, transparent performance waterfalls and robust oracle and risk frameworks, the protocol bridges the gap between unstructured crypto leverage and institutional‑grade financing. Liquidity providers earn stable base yields and participate in user profits. The dual‑token architecture separates governance from revenue, aligning incentives and mitigating regulatory risk. Through its roadmap and continued development, X‑Leverage seeks to become the standard for decentralised margin financing, fostering efficient capital formation and leveraged asset exposure within a transparent, audited and sustainable framework.</w:t>
      </w:r>
      <w:bookmarkEnd w:id="78"/>
    </w:p>
    <w:sectPr w:rsidR="000A6D0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744A1" w14:textId="77777777" w:rsidR="00996544" w:rsidRDefault="00996544">
      <w:pPr>
        <w:spacing w:after="0"/>
      </w:pPr>
      <w:r>
        <w:separator/>
      </w:r>
    </w:p>
  </w:endnote>
  <w:endnote w:type="continuationSeparator" w:id="0">
    <w:p w14:paraId="22C676E0" w14:textId="77777777" w:rsidR="00996544" w:rsidRDefault="009965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30B9A" w14:textId="77777777" w:rsidR="00996544" w:rsidRDefault="00996544">
      <w:r>
        <w:separator/>
      </w:r>
    </w:p>
  </w:footnote>
  <w:footnote w:type="continuationSeparator" w:id="0">
    <w:p w14:paraId="31476938" w14:textId="77777777" w:rsidR="00996544" w:rsidRDefault="009965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F092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CAC61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DBE57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89061672">
    <w:abstractNumId w:val="0"/>
  </w:num>
  <w:num w:numId="2" w16cid:durableId="249311666">
    <w:abstractNumId w:val="1"/>
  </w:num>
  <w:num w:numId="3" w16cid:durableId="1714304845">
    <w:abstractNumId w:val="1"/>
  </w:num>
  <w:num w:numId="4" w16cid:durableId="1309824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2302607">
    <w:abstractNumId w:val="1"/>
  </w:num>
  <w:num w:numId="6" w16cid:durableId="389114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7730787">
    <w:abstractNumId w:val="1"/>
  </w:num>
  <w:num w:numId="8" w16cid:durableId="88818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98536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279513">
    <w:abstractNumId w:val="1"/>
  </w:num>
  <w:num w:numId="11" w16cid:durableId="650644184">
    <w:abstractNumId w:val="1"/>
  </w:num>
  <w:num w:numId="12" w16cid:durableId="952634406">
    <w:abstractNumId w:val="1"/>
  </w:num>
  <w:num w:numId="13" w16cid:durableId="1025601085">
    <w:abstractNumId w:val="1"/>
  </w:num>
  <w:num w:numId="14" w16cid:durableId="1385105315">
    <w:abstractNumId w:val="1"/>
  </w:num>
  <w:num w:numId="15" w16cid:durableId="1694185117">
    <w:abstractNumId w:val="1"/>
  </w:num>
  <w:num w:numId="16" w16cid:durableId="1983581390">
    <w:abstractNumId w:val="1"/>
  </w:num>
  <w:num w:numId="17" w16cid:durableId="1120494340">
    <w:abstractNumId w:val="1"/>
  </w:num>
  <w:num w:numId="18" w16cid:durableId="1206601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108152">
    <w:abstractNumId w:val="1"/>
  </w:num>
  <w:num w:numId="20" w16cid:durableId="566263153">
    <w:abstractNumId w:val="1"/>
  </w:num>
  <w:num w:numId="21" w16cid:durableId="298651833">
    <w:abstractNumId w:val="1"/>
  </w:num>
  <w:num w:numId="22" w16cid:durableId="177695389">
    <w:abstractNumId w:val="1"/>
  </w:num>
  <w:num w:numId="23" w16cid:durableId="304087987">
    <w:abstractNumId w:val="1"/>
  </w:num>
  <w:num w:numId="24" w16cid:durableId="641882687">
    <w:abstractNumId w:val="1"/>
  </w:num>
  <w:num w:numId="25" w16cid:durableId="1239906568">
    <w:abstractNumId w:val="1"/>
  </w:num>
  <w:num w:numId="26" w16cid:durableId="1149328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60592908">
    <w:abstractNumId w:val="1"/>
  </w:num>
  <w:num w:numId="28" w16cid:durableId="795101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24076713">
    <w:abstractNumId w:val="1"/>
  </w:num>
  <w:num w:numId="30" w16cid:durableId="1163812360">
    <w:abstractNumId w:val="1"/>
  </w:num>
  <w:num w:numId="31" w16cid:durableId="427193379">
    <w:abstractNumId w:val="1"/>
  </w:num>
  <w:num w:numId="32" w16cid:durableId="2120031108">
    <w:abstractNumId w:val="1"/>
  </w:num>
  <w:num w:numId="33" w16cid:durableId="725450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625039">
    <w:abstractNumId w:val="1"/>
  </w:num>
  <w:num w:numId="35" w16cid:durableId="910777844">
    <w:abstractNumId w:val="1"/>
  </w:num>
  <w:num w:numId="36" w16cid:durableId="580219419">
    <w:abstractNumId w:val="1"/>
  </w:num>
  <w:num w:numId="37" w16cid:durableId="699629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186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94473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6D05"/>
    <w:rsid w:val="000A6D05"/>
    <w:rsid w:val="000B0CFA"/>
    <w:rsid w:val="002D3C35"/>
    <w:rsid w:val="00996544"/>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940E"/>
  <w15:docId w15:val="{CD9DFD4B-A42A-456B-B97D-2D577997B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39E9F-9705-4D66-8287-E645E9DCD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5094</Words>
  <Characters>31382</Characters>
  <Application>Microsoft Office Word</Application>
  <DocSecurity>0</DocSecurity>
  <Lines>682</Lines>
  <Paragraphs>439</Paragraphs>
  <ScaleCrop>false</ScaleCrop>
  <Company/>
  <LinksUpToDate>false</LinksUpToDate>
  <CharactersWithSpaces>36037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Mohammed Alsehli</cp:lastModifiedBy>
  <cp:revision>2</cp:revision>
  <dcterms:created xsi:type="dcterms:W3CDTF">2025-11-22T19:55:00Z</dcterms:created>
  <dcterms:modified xsi:type="dcterms:W3CDTF">2025-11-22T20:10:00Z</dcterms:modified>
</cp:coreProperties>
</file>