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pPr>
      <w:r>
        <w:rPr>
          <w:rFonts w:ascii="Helvetica Neue" w:hAnsi="Helvetica Neue"/>
          <w:b/>
          <w:i w:val="0"/>
          <w:color w:val="7C3AED"/>
          <w:sz w:val="140"/>
          <w:rFonts w:ascii="Helvetica Neue" w:hAnsi="Helvetica Neue"/>
        </w:rPr>
        <w:t>BREAK</w:t>
      </w:r>
    </w:p>
    <w:p>
      <w:pPr>
        <w:spacing w:after="0"/>
      </w:pPr>
    </w:p>
    <w:p>
      <w:pPr>
        <w:spacing w:after="0"/>
      </w:pPr>
      <w:r>
        <w:rPr>
          <w:rFonts w:ascii="Helvetica Neue" w:hAnsi="Helvetica Neue"/>
          <w:b/>
          <w:i w:val="0"/>
          <w:color w:val="0F1117"/>
          <w:sz w:val="20"/>
          <w:rFonts w:ascii="Helvetica Neue" w:hAnsi="Helvetica Neue"/>
        </w:rPr>
        <w:t>Stack:</w:t>
      </w:r>
      <w:r>
        <w:rPr>
          <w:rFonts w:ascii="Helvetica Neue" w:hAnsi="Helvetica Neue"/>
          <w:b w:val="0"/>
          <w:i w:val="0"/>
          <w:color w:val="0F1117"/>
          <w:sz w:val="20"/>
          <w:rFonts w:ascii="Helvetica Neue" w:hAnsi="Helvetica Neue"/>
        </w:rPr>
        <w:t xml:space="preserve">  Flask 3, Python 3.13, openpyxl, matplotlib, openai SDK, python-pptx, playwright</w:t>
      </w:r>
    </w:p>
    <w:p>
      <w:pPr>
        <w:spacing w:after="0"/>
      </w:pPr>
      <w:r>
        <w:rPr>
          <w:rFonts w:ascii="Helvetica Neue" w:hAnsi="Helvetica Neue"/>
          <w:b/>
          <w:i w:val="0"/>
          <w:color w:val="0F1117"/>
          <w:sz w:val="20"/>
          <w:rFonts w:ascii="Helvetica Neue" w:hAnsi="Helvetica Neue"/>
        </w:rPr>
        <w:t>Model:</w:t>
      </w:r>
      <w:r>
        <w:rPr>
          <w:rFonts w:ascii="Helvetica Neue" w:hAnsi="Helvetica Neue"/>
          <w:b w:val="0"/>
          <w:i w:val="0"/>
          <w:color w:val="0F1117"/>
          <w:sz w:val="20"/>
          <w:rFonts w:ascii="Helvetica Neue" w:hAnsi="Helvetica Neue"/>
        </w:rPr>
        <w:t xml:space="preserve">  DeepSeek V4 (deepseek-chat default), one verdict call + optional follow-up</w:t>
      </w:r>
    </w:p>
    <w:p>
      <w:pPr>
        <w:spacing w:after="0"/>
      </w:pPr>
      <w:r>
        <w:rPr>
          <w:rFonts w:ascii="Helvetica Neue" w:hAnsi="Helvetica Neue"/>
          <w:b/>
          <w:i w:val="0"/>
          <w:color w:val="0F1117"/>
          <w:sz w:val="20"/>
          <w:rFonts w:ascii="Helvetica Neue" w:hAnsi="Helvetica Neue"/>
        </w:rPr>
        <w:t>Cost:</w:t>
      </w:r>
      <w:r>
        <w:rPr>
          <w:rFonts w:ascii="Helvetica Neue" w:hAnsi="Helvetica Neue"/>
          <w:b w:val="0"/>
          <w:i w:val="0"/>
          <w:color w:val="0F1117"/>
          <w:sz w:val="20"/>
          <w:rFonts w:ascii="Helvetica Neue" w:hAnsi="Helvetica Neue"/>
        </w:rPr>
        <w:t xml:space="preserve">  around $0.0001 per analysis. Follow-up question around $0.00013</w:t>
      </w:r>
    </w:p>
    <w:p>
      <w:pPr>
        <w:spacing w:after="0"/>
      </w:pPr>
      <w:r>
        <w:rPr>
          <w:rFonts w:ascii="Helvetica Neue" w:hAnsi="Helvetica Neue"/>
          <w:b/>
          <w:i w:val="0"/>
          <w:color w:val="0F1117"/>
          <w:sz w:val="20"/>
          <w:rFonts w:ascii="Helvetica Neue" w:hAnsi="Helvetica Neue"/>
        </w:rPr>
        <w:t>Port:</w:t>
      </w:r>
      <w:r>
        <w:rPr>
          <w:rFonts w:ascii="Helvetica Neue" w:hAnsi="Helvetica Neue"/>
          <w:b w:val="0"/>
          <w:i w:val="0"/>
          <w:color w:val="0F1117"/>
          <w:sz w:val="20"/>
          <w:rFonts w:ascii="Helvetica Neue" w:hAnsi="Helvetica Neue"/>
        </w:rPr>
        <w:t xml:space="preserve">  127.0.0.1:1006 (loopback only, CSRF double-submit cookie, single-flight semaphore)</w:t>
      </w:r>
    </w:p>
    <w:p>
      <w:pPr>
        <w:spacing w:after="0"/>
      </w:pPr>
      <w:r>
        <w:rPr>
          <w:rFonts w:ascii="Helvetica Neue" w:hAnsi="Helvetica Neue"/>
          <w:b/>
          <w:i w:val="0"/>
          <w:color w:val="0F1117"/>
          <w:sz w:val="20"/>
          <w:rFonts w:ascii="Helvetica Neue" w:hAnsi="Helvetica Neue"/>
        </w:rPr>
        <w:t>Tests:</w:t>
      </w:r>
      <w:r>
        <w:rPr>
          <w:rFonts w:ascii="Helvetica Neue" w:hAnsi="Helvetica Neue"/>
          <w:b w:val="0"/>
          <w:i w:val="0"/>
          <w:color w:val="0F1117"/>
          <w:sz w:val="20"/>
          <w:rFonts w:ascii="Helvetica Neue" w:hAnsi="Helvetica Neue"/>
        </w:rPr>
        <w:t xml:space="preserve">  352 across all 6 days; 73 for Day 6.1</w:t>
      </w:r>
    </w:p>
    <w:p>
      <w:pPr>
        <w:spacing w:after="0"/>
      </w:pPr>
    </w:p>
    <w:p>
      <w:pPr>
        <w:spacing w:after="0"/>
      </w:pPr>
    </w:p>
    <w:p>
      <w:pPr>
        <w:spacing w:after="0"/>
      </w:pPr>
    </w:p>
    <w:p>
      <w:pPr>
        <w:spacing w:before="400" w:after="120"/>
      </w:pPr>
      <w:r>
        <w:rPr>
          <w:rFonts w:ascii="Helvetica Neue" w:hAnsi="Helvetica Neue"/>
          <w:b/>
          <w:i w:val="0"/>
          <w:color w:val="0F1117"/>
          <w:sz w:val="44"/>
          <w:rFonts w:ascii="Helvetica Neue" w:hAnsi="Helvetica Neue"/>
        </w:rPr>
        <w:t>Walk-through (all 18 frames)</w:t>
      </w:r>
    </w:p>
    <w:p>
      <w:pPr>
        <w:spacing w:after="160"/>
      </w:pPr>
      <w:r>
        <w:rPr>
          <w:rFonts w:ascii="Helvetica Neue" w:hAnsi="Helvetica Neue"/>
          <w:b w:val="0"/>
          <w:i w:val="0"/>
          <w:color w:val="0F1117"/>
          <w:sz w:val="22"/>
          <w:rFonts w:ascii="Helvetica Neue" w:hAnsi="Helvetica Neue"/>
        </w:rPr>
        <w:t>Each frame is captioned and explained. Frames marked KEEP are the recommended six attachments; the rest are deep-dive frames for a thread or a follow-up post.</w:t>
      </w:r>
    </w:p>
    <w:p>
      <w:pPr>
        <w:spacing w:before="280" w:after="40"/>
      </w:pPr>
      <w:r>
        <w:rPr>
          <w:rFonts w:ascii="Helvetica Neue" w:hAnsi="Helvetica Neue"/>
          <w:b/>
          <w:i w:val="0"/>
          <w:color w:val="0F1117"/>
          <w:sz w:val="32"/>
          <w:rFonts w:ascii="Helvetica Neue" w:hAnsi="Helvetica Neue"/>
        </w:rPr>
        <w:t>01. Empty home  .  KEEP</w:t>
      </w:r>
    </w:p>
    <w:p>
      <w:pPr>
        <w:spacing w:after="40"/>
      </w:pPr>
      <w:r>
        <w:rPr>
          <w:rFonts w:ascii="Helvetica Neue" w:hAnsi="Helvetica Neue"/>
          <w:b w:val="0"/>
          <w:i/>
          <w:color w:val="6B7280"/>
          <w:sz w:val="18"/>
          <w:rFonts w:ascii="Helvetica Neue" w:hAnsi="Helvetica Neue"/>
        </w:rPr>
        <w:t>Cold start. Big BREAK wordmark with the E in purple and a magenta slash. Vertical day rail on the left. Editorial masthead with VOL / ISSUE / DEEPSEEK metadata.</w:t>
      </w:r>
    </w:p>
    <w:p>
      <w:pPr>
        <w:jc w:val="center"/>
      </w:pPr>
      <w:r>
        <w:drawing>
          <wp:inline xmlns:a="http://schemas.openxmlformats.org/drawingml/2006/main" xmlns:pic="http://schemas.openxmlformats.org/drawingml/2006/picture">
            <wp:extent cx="5943600" cy="4465167"/>
            <wp:docPr id="1" name="Picture 1"/>
            <wp:cNvGraphicFramePr>
              <a:graphicFrameLocks noChangeAspect="1"/>
            </wp:cNvGraphicFramePr>
            <a:graphic>
              <a:graphicData uri="http://schemas.openxmlformats.org/drawingml/2006/picture">
                <pic:pic>
                  <pic:nvPicPr>
                    <pic:cNvPr id="0" name="01_empty.png"/>
                    <pic:cNvPicPr/>
                  </pic:nvPicPr>
                  <pic:blipFill>
                    <a:blip r:embed="rId9"/>
                    <a:stretch>
                      <a:fillRect/>
                    </a:stretch>
                  </pic:blipFill>
                  <pic:spPr>
                    <a:xfrm>
                      <a:off x="0" y="0"/>
                      <a:ext cx="5943600" cy="4465167"/>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First load. The hero numeral '06' sits in the canvas as a magazine pull-numeral with a magenta underline. The lede on the right is an ordered list of what shows here after a run: break-even units and revenue, sensitivity, AI verdict, what-if sliders, multi-product, step-cost, capacity, peer benchmark.</w:t>
      </w:r>
    </w:p>
    <w:p>
      <w:pPr>
        <w:spacing w:before="280" w:after="40"/>
      </w:pPr>
      <w:r>
        <w:rPr>
          <w:rFonts w:ascii="Helvetica Neue" w:hAnsi="Helvetica Neue"/>
          <w:b/>
          <w:i w:val="0"/>
          <w:color w:val="0F1117"/>
          <w:sz w:val="32"/>
          <w:rFonts w:ascii="Helvetica Neue" w:hAnsi="Helvetica Neue"/>
        </w:rPr>
        <w:t>02. Masthead</w:t>
      </w:r>
    </w:p>
    <w:p>
      <w:pPr>
        <w:spacing w:after="40"/>
      </w:pPr>
      <w:r>
        <w:rPr>
          <w:rFonts w:ascii="Helvetica Neue" w:hAnsi="Helvetica Neue"/>
          <w:b w:val="0"/>
          <w:i/>
          <w:color w:val="6B7280"/>
          <w:sz w:val="18"/>
          <w:rFonts w:ascii="Helvetica Neue" w:hAnsi="Helvetica Neue"/>
        </w:rPr>
        <w:t>Editorial header. Wordmark, VOL / ISSUE / DEEPSEEK metadata, COST.VOLUME.PROFIT strap.</w:t>
      </w:r>
    </w:p>
    <w:p>
      <w:pPr>
        <w:jc w:val="center"/>
      </w:pPr>
      <w:r>
        <w:drawing>
          <wp:inline xmlns:a="http://schemas.openxmlformats.org/drawingml/2006/main" xmlns:pic="http://schemas.openxmlformats.org/drawingml/2006/picture">
            <wp:extent cx="5943600" cy="1711036"/>
            <wp:docPr id="2" name="Picture 2"/>
            <wp:cNvGraphicFramePr>
              <a:graphicFrameLocks noChangeAspect="1"/>
            </wp:cNvGraphicFramePr>
            <a:graphic>
              <a:graphicData uri="http://schemas.openxmlformats.org/drawingml/2006/picture">
                <pic:pic>
                  <pic:nvPicPr>
                    <pic:cNvPr id="0" name="02_masthead.png"/>
                    <pic:cNvPicPr/>
                  </pic:nvPicPr>
                  <pic:blipFill>
                    <a:blip r:embed="rId10"/>
                    <a:stretch>
                      <a:fillRect/>
                    </a:stretch>
                  </pic:blipFill>
                  <pic:spPr>
                    <a:xfrm>
                      <a:off x="0" y="0"/>
                      <a:ext cx="5943600" cy="1711036"/>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masthead is two rows. Top row: huge BREAK wordmark on the left, three meta lines on the right (VOL 06, ISSUE CVP, DEEPSEEK LIVE/NO KEY). Bottom row: a thin strap with the 'COST . VOLUME . PROFIT' tag on the left and 'A FOUNDER'S BREAK-EVEN MEMO' on the right, separated by a hairline rule.</w:t>
      </w:r>
    </w:p>
    <w:p>
      <w:pPr>
        <w:spacing w:before="280" w:after="40"/>
      </w:pPr>
      <w:r>
        <w:rPr>
          <w:rFonts w:ascii="Helvetica Neue" w:hAnsi="Helvetica Neue"/>
          <w:b/>
          <w:i w:val="0"/>
          <w:color w:val="0F1117"/>
          <w:sz w:val="32"/>
          <w:rFonts w:ascii="Helvetica Neue" w:hAnsi="Helvetica Neue"/>
        </w:rPr>
        <w:t>03. Hero KPI  .  KEEP</w:t>
      </w:r>
    </w:p>
    <w:p>
      <w:pPr>
        <w:spacing w:after="40"/>
      </w:pPr>
      <w:r>
        <w:rPr>
          <w:rFonts w:ascii="Helvetica Neue" w:hAnsi="Helvetica Neue"/>
          <w:b w:val="0"/>
          <w:i/>
          <w:color w:val="6B7280"/>
          <w:sz w:val="18"/>
          <w:rFonts w:ascii="Helvetica Neue" w:hAnsi="Helvetica Neue"/>
        </w:rPr>
        <w:t>The break-even number, three stat tiles, optional cash-basis toggle, peer benchmark band.</w:t>
      </w:r>
    </w:p>
    <w:p>
      <w:pPr>
        <w:jc w:val="center"/>
      </w:pPr>
      <w:r>
        <w:drawing>
          <wp:inline xmlns:a="http://schemas.openxmlformats.org/drawingml/2006/main" xmlns:pic="http://schemas.openxmlformats.org/drawingml/2006/picture">
            <wp:extent cx="5943600" cy="2329652"/>
            <wp:docPr id="3" name="Picture 3"/>
            <wp:cNvGraphicFramePr>
              <a:graphicFrameLocks noChangeAspect="1"/>
            </wp:cNvGraphicFramePr>
            <a:graphic>
              <a:graphicData uri="http://schemas.openxmlformats.org/drawingml/2006/picture">
                <pic:pic>
                  <pic:nvPicPr>
                    <pic:cNvPr id="0" name="03_hero.png"/>
                    <pic:cNvPicPr/>
                  </pic:nvPicPr>
                  <pic:blipFill>
                    <a:blip r:embed="rId11"/>
                    <a:stretch>
                      <a:fillRect/>
                    </a:stretch>
                  </pic:blipFill>
                  <pic:spPr>
                    <a:xfrm>
                      <a:off x="0" y="0"/>
                      <a:ext cx="5943600" cy="2329652"/>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brew &amp; bites cafe sample. Break-even at 9,057 units per period (revenue GBP 38,038). CM ratio 63.10% with the peer benchmark band underneath showing where 63.10% sits inside the 62 to 72% typical cafe range (in_range, green pos pill). Margin of safety 1,443 units (13.75% above current volume of 10,500). AI cost $0.00000 because skip_ai was on for the screenshot.</w:t>
      </w:r>
    </w:p>
    <w:p>
      <w:pPr>
        <w:spacing w:before="280" w:after="40"/>
      </w:pPr>
      <w:r>
        <w:rPr>
          <w:rFonts w:ascii="Helvetica Neue" w:hAnsi="Helvetica Neue"/>
          <w:b/>
          <w:i w:val="0"/>
          <w:color w:val="0F1117"/>
          <w:sz w:val="32"/>
          <w:rFonts w:ascii="Helvetica Neue" w:hAnsi="Helvetica Neue"/>
        </w:rPr>
        <w:t>04. Capacity card</w:t>
      </w:r>
    </w:p>
    <w:p>
      <w:pPr>
        <w:spacing w:after="40"/>
      </w:pPr>
      <w:r>
        <w:rPr>
          <w:rFonts w:ascii="Helvetica Neue" w:hAnsi="Helvetica Neue"/>
          <w:b w:val="0"/>
          <w:i/>
          <w:color w:val="6B7280"/>
          <w:sz w:val="18"/>
          <w:rFonts w:ascii="Helvetica Neue" w:hAnsi="Helvetica Neue"/>
        </w:rPr>
        <w:t>REACHABLE pill plus headroom percent. Optional metadata.capacity_units.</w:t>
      </w:r>
    </w:p>
    <w:p>
      <w:pPr>
        <w:jc w:val="center"/>
      </w:pPr>
      <w:r>
        <w:drawing>
          <wp:inline xmlns:a="http://schemas.openxmlformats.org/drawingml/2006/main" xmlns:pic="http://schemas.openxmlformats.org/drawingml/2006/picture">
            <wp:extent cx="5943600" cy="350941"/>
            <wp:docPr id="4" name="Picture 4"/>
            <wp:cNvGraphicFramePr>
              <a:graphicFrameLocks noChangeAspect="1"/>
            </wp:cNvGraphicFramePr>
            <a:graphic>
              <a:graphicData uri="http://schemas.openxmlformats.org/drawingml/2006/picture">
                <pic:pic>
                  <pic:nvPicPr>
                    <pic:cNvPr id="0" name="04_capacity.png"/>
                    <pic:cNvPicPr/>
                  </pic:nvPicPr>
                  <pic:blipFill>
                    <a:blip r:embed="rId12"/>
                    <a:stretch>
                      <a:fillRect/>
                    </a:stretch>
                  </pic:blipFill>
                  <pic:spPr>
                    <a:xfrm>
                      <a:off x="0" y="0"/>
                      <a:ext cx="5943600" cy="350941"/>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cafe has a stated capacity of 18,000 transactions per period. BE at 9,057u sits 49.7% below the ceiling, so the pill is green and the card is calm. If BE were above capacity, the pill would flip to red 'NOT REACHABLE' and the chart would draw the dashed magenta capacity line ahead of the BE marker.</w:t>
      </w:r>
    </w:p>
    <w:p>
      <w:pPr>
        <w:spacing w:before="280" w:after="40"/>
      </w:pPr>
      <w:r>
        <w:rPr>
          <w:rFonts w:ascii="Helvetica Neue" w:hAnsi="Helvetica Neue"/>
          <w:b/>
          <w:i w:val="0"/>
          <w:color w:val="0F1117"/>
          <w:sz w:val="32"/>
          <w:rFonts w:ascii="Helvetica Neue" w:hAnsi="Helvetica Neue"/>
        </w:rPr>
        <w:t>05. Covenant card</w:t>
      </w:r>
    </w:p>
    <w:p>
      <w:pPr>
        <w:spacing w:after="40"/>
      </w:pPr>
      <w:r>
        <w:rPr>
          <w:rFonts w:ascii="Helvetica Neue" w:hAnsi="Helvetica Neue"/>
          <w:b w:val="0"/>
          <w:i/>
          <w:color w:val="6B7280"/>
          <w:sz w:val="18"/>
          <w:rFonts w:ascii="Helvetica Neue" w:hAnsi="Helvetica Neue"/>
        </w:rPr>
        <w:t>OK / BREACH pill plus buffer percent vs current revenue.</w:t>
      </w:r>
    </w:p>
    <w:p>
      <w:pPr>
        <w:jc w:val="center"/>
      </w:pPr>
      <w:r>
        <w:drawing>
          <wp:inline xmlns:a="http://schemas.openxmlformats.org/drawingml/2006/main" xmlns:pic="http://schemas.openxmlformats.org/drawingml/2006/picture">
            <wp:extent cx="5943600" cy="350941"/>
            <wp:docPr id="5" name="Picture 5"/>
            <wp:cNvGraphicFramePr>
              <a:graphicFrameLocks noChangeAspect="1"/>
            </wp:cNvGraphicFramePr>
            <a:graphic>
              <a:graphicData uri="http://schemas.openxmlformats.org/drawingml/2006/picture">
                <pic:pic>
                  <pic:nvPicPr>
                    <pic:cNvPr id="0" name="05_covenant.png"/>
                    <pic:cNvPicPr/>
                  </pic:nvPicPr>
                  <pic:blipFill>
                    <a:blip r:embed="rId13"/>
                    <a:stretch>
                      <a:fillRect/>
                    </a:stretch>
                  </pic:blipFill>
                  <pic:spPr>
                    <a:xfrm>
                      <a:off x="0" y="0"/>
                      <a:ext cx="5943600" cy="350941"/>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bank covenant is a minimum revenue of GBP 42,000 per period. Current revenue (10,500 units * GBP 4.20) is GBP 44,100, so the buffer is +5%. The card sits green. A negative buffer flips the pill to red 'COVENANT BREACH' so the founder knows the loan terms would trip before any P&amp;L damage.</w:t>
      </w:r>
    </w:p>
    <w:p>
      <w:pPr>
        <w:spacing w:before="280" w:after="40"/>
      </w:pPr>
      <w:r>
        <w:rPr>
          <w:rFonts w:ascii="Helvetica Neue" w:hAnsi="Helvetica Neue"/>
          <w:b/>
          <w:i w:val="0"/>
          <w:color w:val="0F1117"/>
          <w:sz w:val="32"/>
          <w:rFonts w:ascii="Helvetica Neue" w:hAnsi="Helvetica Neue"/>
        </w:rPr>
        <w:t>06. Break-even profile  .  KEEP</w:t>
      </w:r>
    </w:p>
    <w:p>
      <w:pPr>
        <w:spacing w:after="40"/>
      </w:pPr>
      <w:r>
        <w:rPr>
          <w:rFonts w:ascii="Helvetica Neue" w:hAnsi="Helvetica Neue"/>
          <w:b w:val="0"/>
          <w:i/>
          <w:color w:val="6B7280"/>
          <w:sz w:val="18"/>
          <w:rFonts w:ascii="Helvetica Neue" w:hAnsi="Helvetica Neue"/>
        </w:rPr>
        <w:t>Inline SVG. Revenue line (purple), total cost line (ink), fixed cost reference (grey dashed), profit/loss zones (soft green/red), BE marker (magenta) plus optional dashed capacity line.</w:t>
      </w:r>
    </w:p>
    <w:p>
      <w:pPr>
        <w:jc w:val="center"/>
      </w:pPr>
      <w:r>
        <w:drawing>
          <wp:inline xmlns:a="http://schemas.openxmlformats.org/drawingml/2006/main" xmlns:pic="http://schemas.openxmlformats.org/drawingml/2006/picture">
            <wp:extent cx="5943600" cy="3703550"/>
            <wp:docPr id="6" name="Picture 6"/>
            <wp:cNvGraphicFramePr>
              <a:graphicFrameLocks noChangeAspect="1"/>
            </wp:cNvGraphicFramePr>
            <a:graphic>
              <a:graphicData uri="http://schemas.openxmlformats.org/drawingml/2006/picture">
                <pic:pic>
                  <pic:nvPicPr>
                    <pic:cNvPr id="0" name="06_chart.png"/>
                    <pic:cNvPicPr/>
                  </pic:nvPicPr>
                  <pic:blipFill>
                    <a:blip r:embed="rId14"/>
                    <a:stretch>
                      <a:fillRect/>
                    </a:stretch>
                  </pic:blipFill>
                  <pic:spPr>
                    <a:xfrm>
                      <a:off x="0" y="0"/>
                      <a:ext cx="5943600" cy="3703550"/>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classic break-even chart, redrawn client-side from the JSON payload so the live UI never needs a server round-trip when sliders move. The polygon fills mark the loss triangle (lower left) and the profit wedge (upper right). The magenta dot at the BE point is outlined in ink for legibility against the soft fills. A small 'BE 9,057u' label sits below the dot on the volume axis.</w:t>
      </w:r>
    </w:p>
    <w:p>
      <w:pPr>
        <w:spacing w:before="280" w:after="40"/>
      </w:pPr>
      <w:r>
        <w:rPr>
          <w:rFonts w:ascii="Helvetica Neue" w:hAnsi="Helvetica Neue"/>
          <w:b/>
          <w:i w:val="0"/>
          <w:color w:val="0F1117"/>
          <w:sz w:val="32"/>
          <w:rFonts w:ascii="Helvetica Neue" w:hAnsi="Helvetica Neue"/>
        </w:rPr>
        <w:t>07. Live what-if sliders</w:t>
      </w:r>
    </w:p>
    <w:p>
      <w:pPr>
        <w:spacing w:after="40"/>
      </w:pPr>
      <w:r>
        <w:rPr>
          <w:rFonts w:ascii="Helvetica Neue" w:hAnsi="Helvetica Neue"/>
          <w:b w:val="0"/>
          <w:i/>
          <w:color w:val="6B7280"/>
          <w:sz w:val="18"/>
          <w:rFonts w:ascii="Helvetica Neue" w:hAnsi="Helvetica Neue"/>
        </w:rPr>
        <w:t>Four sliders (price, vc, fixed, volume) with delta-vs-base hints on four KPIs.</w:t>
      </w:r>
    </w:p>
    <w:p>
      <w:pPr>
        <w:jc w:val="center"/>
      </w:pPr>
      <w:r>
        <w:drawing>
          <wp:inline xmlns:a="http://schemas.openxmlformats.org/drawingml/2006/main" xmlns:pic="http://schemas.openxmlformats.org/drawingml/2006/picture">
            <wp:extent cx="5943600" cy="2262450"/>
            <wp:docPr id="7" name="Picture 7"/>
            <wp:cNvGraphicFramePr>
              <a:graphicFrameLocks noChangeAspect="1"/>
            </wp:cNvGraphicFramePr>
            <a:graphic>
              <a:graphicData uri="http://schemas.openxmlformats.org/drawingml/2006/picture">
                <pic:pic>
                  <pic:nvPicPr>
                    <pic:cNvPr id="0" name="07_whatif.png"/>
                    <pic:cNvPicPr/>
                  </pic:nvPicPr>
                  <pic:blipFill>
                    <a:blip r:embed="rId15"/>
                    <a:stretch>
                      <a:fillRect/>
                    </a:stretch>
                  </pic:blipFill>
                  <pic:spPr>
                    <a:xfrm>
                      <a:off x="0" y="0"/>
                      <a:ext cx="5943600" cy="2262450"/>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fastest way to build intuition. Drag 'Price per unit' down by 10p and the BE jumps; drag 'Variable cost' down by 5p and it falls. Each KPI tile shows the 'vs base' delta in tabular monospace, coloured red when the change is adverse (BE rises, profit falls) and green when favourable. No server round-trip; pure JS.</w:t>
      </w:r>
    </w:p>
    <w:p>
      <w:pPr>
        <w:spacing w:before="280" w:after="40"/>
      </w:pPr>
      <w:r>
        <w:rPr>
          <w:rFonts w:ascii="Helvetica Neue" w:hAnsi="Helvetica Neue"/>
          <w:b/>
          <w:i w:val="0"/>
          <w:color w:val="0F1117"/>
          <w:sz w:val="32"/>
          <w:rFonts w:ascii="Helvetica Neue" w:hAnsi="Helvetica Neue"/>
        </w:rPr>
        <w:t>08. Target profit calculator</w:t>
      </w:r>
    </w:p>
    <w:p>
      <w:pPr>
        <w:spacing w:after="40"/>
      </w:pPr>
      <w:r>
        <w:rPr>
          <w:rFonts w:ascii="Helvetica Neue" w:hAnsi="Helvetica Neue"/>
          <w:b w:val="0"/>
          <w:i/>
          <w:color w:val="6B7280"/>
          <w:sz w:val="18"/>
          <w:rFonts w:ascii="Helvetica Neue" w:hAnsi="Helvetica Neue"/>
        </w:rPr>
        <w:t>Three independent modes: profit-from-volume, volume-from-target-profit, price-from-target-margin.</w:t>
      </w:r>
    </w:p>
    <w:p>
      <w:pPr>
        <w:jc w:val="center"/>
      </w:pPr>
      <w:r>
        <w:drawing>
          <wp:inline xmlns:a="http://schemas.openxmlformats.org/drawingml/2006/main" xmlns:pic="http://schemas.openxmlformats.org/drawingml/2006/picture">
            <wp:extent cx="5943600" cy="1694971"/>
            <wp:docPr id="8" name="Picture 8"/>
            <wp:cNvGraphicFramePr>
              <a:graphicFrameLocks noChangeAspect="1"/>
            </wp:cNvGraphicFramePr>
            <a:graphic>
              <a:graphicData uri="http://schemas.openxmlformats.org/drawingml/2006/picture">
                <pic:pic>
                  <pic:nvPicPr>
                    <pic:cNvPr id="0" name="08_targets.png"/>
                    <pic:cNvPicPr/>
                  </pic:nvPicPr>
                  <pic:blipFill>
                    <a:blip r:embed="rId16"/>
                    <a:stretch>
                      <a:fillRect/>
                    </a:stretch>
                  </pic:blipFill>
                  <pic:spPr>
                    <a:xfrm>
                      <a:off x="0" y="0"/>
                      <a:ext cx="5943600" cy="1694971"/>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inverse of the break-even calculation. Type a volume, see the profit. Type a target profit, see the volume needed. Type a target CM ratio, see the price you would have to charge given today's variable cost. Useful when the founder is sketching pricing on the back of a napkin.</w:t>
      </w:r>
    </w:p>
    <w:p>
      <w:pPr>
        <w:spacing w:before="280" w:after="40"/>
      </w:pPr>
      <w:r>
        <w:rPr>
          <w:rFonts w:ascii="Helvetica Neue" w:hAnsi="Helvetica Neue"/>
          <w:b/>
          <w:i w:val="0"/>
          <w:color w:val="0F1117"/>
          <w:sz w:val="32"/>
          <w:rFonts w:ascii="Helvetica Neue" w:hAnsi="Helvetica Neue"/>
        </w:rPr>
        <w:t>09. Compare three prices</w:t>
      </w:r>
    </w:p>
    <w:p>
      <w:pPr>
        <w:spacing w:after="40"/>
      </w:pPr>
      <w:r>
        <w:rPr>
          <w:rFonts w:ascii="Helvetica Neue" w:hAnsi="Helvetica Neue"/>
          <w:b w:val="0"/>
          <w:i/>
          <w:color w:val="6B7280"/>
          <w:sz w:val="18"/>
          <w:rFonts w:ascii="Helvetica Neue" w:hAnsi="Helvetica Neue"/>
        </w:rPr>
        <w:t>Same fixed and vc, three price points side by side. BE / CM ratio / MoS for each.</w:t>
      </w:r>
    </w:p>
    <w:p>
      <w:pPr>
        <w:jc w:val="center"/>
      </w:pPr>
      <w:r>
        <w:drawing>
          <wp:inline xmlns:a="http://schemas.openxmlformats.org/drawingml/2006/main" xmlns:pic="http://schemas.openxmlformats.org/drawingml/2006/picture">
            <wp:extent cx="5943600" cy="1963777"/>
            <wp:docPr id="9" name="Picture 9"/>
            <wp:cNvGraphicFramePr>
              <a:graphicFrameLocks noChangeAspect="1"/>
            </wp:cNvGraphicFramePr>
            <a:graphic>
              <a:graphicData uri="http://schemas.openxmlformats.org/drawingml/2006/picture">
                <pic:pic>
                  <pic:nvPicPr>
                    <pic:cNvPr id="0" name="09_comp3.png"/>
                    <pic:cNvPicPr/>
                  </pic:nvPicPr>
                  <pic:blipFill>
                    <a:blip r:embed="rId17"/>
                    <a:stretch>
                      <a:fillRect/>
                    </a:stretch>
                  </pic:blipFill>
                  <pic:spPr>
                    <a:xfrm>
                      <a:off x="0" y="0"/>
                      <a:ext cx="5943600" cy="1963777"/>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Pre-populated at -5% / 0% / +5% of the headline price. The trade-off is visible at a glance: drop price 5p and the cafe needs 779 more cups to break even; raise it 5p and BE drops by 665 cups. Built for the back-pocket pricing meeting.</w:t>
      </w:r>
    </w:p>
    <w:p>
      <w:pPr>
        <w:spacing w:before="280" w:after="40"/>
      </w:pPr>
      <w:r>
        <w:rPr>
          <w:rFonts w:ascii="Helvetica Neue" w:hAnsi="Helvetica Neue"/>
          <w:b/>
          <w:i w:val="0"/>
          <w:color w:val="0F1117"/>
          <w:sz w:val="32"/>
          <w:rFonts w:ascii="Helvetica Neue" w:hAnsi="Helvetica Neue"/>
        </w:rPr>
        <w:t>10. Multi-product mix  .  KEEP</w:t>
      </w:r>
    </w:p>
    <w:p>
      <w:pPr>
        <w:spacing w:after="40"/>
      </w:pPr>
      <w:r>
        <w:rPr>
          <w:rFonts w:ascii="Helvetica Neue" w:hAnsi="Helvetica Neue"/>
          <w:b w:val="0"/>
          <w:i/>
          <w:color w:val="6B7280"/>
          <w:sz w:val="18"/>
          <w:rFonts w:ascii="Helvetica Neue" w:hAnsi="Helvetica Neue"/>
        </w:rPr>
        <w:t>Weighted CM and per-product BE allocation. Three live mix sliders.</w:t>
      </w:r>
    </w:p>
    <w:p>
      <w:pPr>
        <w:jc w:val="center"/>
      </w:pPr>
      <w:r>
        <w:drawing>
          <wp:inline xmlns:a="http://schemas.openxmlformats.org/drawingml/2006/main" xmlns:pic="http://schemas.openxmlformats.org/drawingml/2006/picture">
            <wp:extent cx="5943600" cy="4017157"/>
            <wp:docPr id="10" name="Picture 10"/>
            <wp:cNvGraphicFramePr>
              <a:graphicFrameLocks noChangeAspect="1"/>
            </wp:cNvGraphicFramePr>
            <a:graphic>
              <a:graphicData uri="http://schemas.openxmlformats.org/drawingml/2006/picture">
                <pic:pic>
                  <pic:nvPicPr>
                    <pic:cNvPr id="0" name="10_multi.png"/>
                    <pic:cNvPicPr/>
                  </pic:nvPicPr>
                  <pic:blipFill>
                    <a:blip r:embed="rId18"/>
                    <a:stretch>
                      <a:fillRect/>
                    </a:stretch>
                  </pic:blipFill>
                  <pic:spPr>
                    <a:xfrm>
                      <a:off x="0" y="0"/>
                      <a:ext cx="5943600" cy="4017157"/>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Real businesses sell more than one SKU. The brew &amp; bites cafe sells espresso drinks (55% mix, 70.59% CM ratio), pastries &amp; food (30%, 54.17%), and retail bag &amp; merch (15%, 52.63%). Weighted CM lands at GBP 2.85 per transaction (60.19%). Drag any slider; the blended BE moves in real time and the per-product allocation updates. If the slider sum drifts off 100%, the card auto-normalises with a magenta warning line.</w:t>
      </w:r>
    </w:p>
    <w:p>
      <w:pPr>
        <w:spacing w:before="280" w:after="40"/>
      </w:pPr>
      <w:r>
        <w:rPr>
          <w:rFonts w:ascii="Helvetica Neue" w:hAnsi="Helvetica Neue"/>
          <w:b/>
          <w:i w:val="0"/>
          <w:color w:val="0F1117"/>
          <w:sz w:val="32"/>
          <w:rFonts w:ascii="Helvetica Neue" w:hAnsi="Helvetica Neue"/>
        </w:rPr>
        <w:t>11. Step-cost ladder</w:t>
      </w:r>
    </w:p>
    <w:p>
      <w:pPr>
        <w:spacing w:after="40"/>
      </w:pPr>
      <w:r>
        <w:rPr>
          <w:rFonts w:ascii="Helvetica Neue" w:hAnsi="Helvetica Neue"/>
          <w:b w:val="0"/>
          <w:i/>
          <w:color w:val="6B7280"/>
          <w:sz w:val="18"/>
          <w:rFonts w:ascii="Helvetica Neue" w:hAnsi="Helvetica Neue"/>
        </w:rPr>
        <w:t>BE recomputes inside each fixed-cost segment.</w:t>
      </w:r>
    </w:p>
    <w:p>
      <w:pPr>
        <w:jc w:val="center"/>
      </w:pPr>
      <w:r>
        <w:drawing>
          <wp:inline xmlns:a="http://schemas.openxmlformats.org/drawingml/2006/main" xmlns:pic="http://schemas.openxmlformats.org/drawingml/2006/picture">
            <wp:extent cx="5943600" cy="1568035"/>
            <wp:docPr id="11" name="Picture 11"/>
            <wp:cNvGraphicFramePr>
              <a:graphicFrameLocks noChangeAspect="1"/>
            </wp:cNvGraphicFramePr>
            <a:graphic>
              <a:graphicData uri="http://schemas.openxmlformats.org/drawingml/2006/picture">
                <pic:pic>
                  <pic:nvPicPr>
                    <pic:cNvPr id="0" name="11_step.png"/>
                    <pic:cNvPicPr/>
                  </pic:nvPicPr>
                  <pic:blipFill>
                    <a:blip r:embed="rId19"/>
                    <a:stretch>
                      <a:fillRect/>
                    </a:stretch>
                  </pic:blipFill>
                  <pic:spPr>
                    <a:xfrm>
                      <a:off x="0" y="0"/>
                      <a:ext cx="5943600" cy="1568035"/>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Fixed cost is not smooth. The cafe needs a second barista at 12,000 transactions (adds GBP 4,500 of fixed) and a baker at 16,000 (adds another GBP 3,500). The ladder shows three segments: baseline (GBP 24,000 fixed, BE 9,057u, REACHABLE inside the 0-12k range), step 1 (GBP 28,500, BE 10,755u, but that is above the 12-16k range so unreachable here), step 2 (GBP 32,000, BE 12,075u). The 'BE' marker sits next to the first reachable segment.</w:t>
      </w:r>
    </w:p>
    <w:p>
      <w:pPr>
        <w:spacing w:before="280" w:after="40"/>
      </w:pPr>
      <w:r>
        <w:rPr>
          <w:rFonts w:ascii="Helvetica Neue" w:hAnsi="Helvetica Neue"/>
          <w:b/>
          <w:i w:val="0"/>
          <w:color w:val="0F1117"/>
          <w:sz w:val="32"/>
          <w:rFonts w:ascii="Helvetica Neue" w:hAnsi="Helvetica Neue"/>
        </w:rPr>
        <w:t>12. Sensitivity grid</w:t>
      </w:r>
    </w:p>
    <w:p>
      <w:pPr>
        <w:spacing w:after="40"/>
      </w:pPr>
      <w:r>
        <w:rPr>
          <w:rFonts w:ascii="Helvetica Neue" w:hAnsi="Helvetica Neue"/>
          <w:b w:val="0"/>
          <w:i/>
          <w:color w:val="6B7280"/>
          <w:sz w:val="18"/>
          <w:rFonts w:ascii="Helvetica Neue" w:hAnsi="Helvetica Neue"/>
        </w:rPr>
        <w:t>+/-20% / +/-10% / 0% on price, variable cost, fixed cost.</w:t>
      </w:r>
    </w:p>
    <w:p>
      <w:pPr>
        <w:jc w:val="center"/>
      </w:pPr>
      <w:r>
        <w:drawing>
          <wp:inline xmlns:a="http://schemas.openxmlformats.org/drawingml/2006/main" xmlns:pic="http://schemas.openxmlformats.org/drawingml/2006/picture">
            <wp:extent cx="5943600" cy="5099848"/>
            <wp:docPr id="12" name="Picture 12"/>
            <wp:cNvGraphicFramePr>
              <a:graphicFrameLocks noChangeAspect="1"/>
            </wp:cNvGraphicFramePr>
            <a:graphic>
              <a:graphicData uri="http://schemas.openxmlformats.org/drawingml/2006/picture">
                <pic:pic>
                  <pic:nvPicPr>
                    <pic:cNvPr id="0" name="12_sens.png"/>
                    <pic:cNvPicPr/>
                  </pic:nvPicPr>
                  <pic:blipFill>
                    <a:blip r:embed="rId20"/>
                    <a:stretch>
                      <a:fillRect/>
                    </a:stretch>
                  </pic:blipFill>
                  <pic:spPr>
                    <a:xfrm>
                      <a:off x="0" y="0"/>
                      <a:ext cx="5943600" cy="5099848"/>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Ink header, baseline (0%) rows highlighted in soft purple, swing values coloured red (BE rises) / green (BE falls). Price is the dominant lever in this sample: a 10% price cut raises BE by 17.98% (1,541 units), far more than equivalent shocks to vc or fixed. The +/-10% rows feed the tornado chart in the Excel and PDF exports.</w:t>
      </w:r>
    </w:p>
    <w:p>
      <w:pPr>
        <w:spacing w:before="280" w:after="40"/>
      </w:pPr>
      <w:r>
        <w:rPr>
          <w:rFonts w:ascii="Helvetica Neue" w:hAnsi="Helvetica Neue"/>
          <w:b/>
          <w:i w:val="0"/>
          <w:color w:val="0F1117"/>
          <w:sz w:val="32"/>
          <w:rFonts w:ascii="Helvetica Neue" w:hAnsi="Helvetica Neue"/>
        </w:rPr>
        <w:t>13. 2D heatmap</w:t>
      </w:r>
    </w:p>
    <w:p>
      <w:pPr>
        <w:spacing w:after="40"/>
      </w:pPr>
      <w:r>
        <w:rPr>
          <w:rFonts w:ascii="Helvetica Neue" w:hAnsi="Helvetica Neue"/>
          <w:b w:val="0"/>
          <w:i/>
          <w:color w:val="6B7280"/>
          <w:sz w:val="18"/>
          <w:rFonts w:ascii="Helvetica Neue" w:hAnsi="Helvetica Neue"/>
        </w:rPr>
        <w:t>BE units across price (rows) and variable cost (cols). Soft green = low BE, magenta = high BE.</w:t>
      </w:r>
    </w:p>
    <w:p>
      <w:pPr>
        <w:jc w:val="center"/>
      </w:pPr>
      <w:r>
        <w:drawing>
          <wp:inline xmlns:a="http://schemas.openxmlformats.org/drawingml/2006/main" xmlns:pic="http://schemas.openxmlformats.org/drawingml/2006/picture">
            <wp:extent cx="5943600" cy="3248073"/>
            <wp:docPr id="13" name="Picture 13"/>
            <wp:cNvGraphicFramePr>
              <a:graphicFrameLocks noChangeAspect="1"/>
            </wp:cNvGraphicFramePr>
            <a:graphic>
              <a:graphicData uri="http://schemas.openxmlformats.org/drawingml/2006/picture">
                <pic:pic>
                  <pic:nvPicPr>
                    <pic:cNvPr id="0" name="13_heat.png"/>
                    <pic:cNvPicPr/>
                  </pic:nvPicPr>
                  <pic:blipFill>
                    <a:blip r:embed="rId21"/>
                    <a:stretch>
                      <a:fillRect/>
                    </a:stretch>
                  </pic:blipFill>
                  <pic:spPr>
                    <a:xfrm>
                      <a:off x="0" y="0"/>
                      <a:ext cx="5943600" cy="3248073"/>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joint surface that the single-variable sensitivity hides. The baseline cell (price 0%, vc 0%) is outlined in magenta and equals 9,057. Top-right corner (price -20%, vc +20%) is the worst case at 16,000 units. Bottom-left (price +20%, vc -20%) is the best at 6,316. Useful when the founder is negotiating both supplier prices and pricing simultaneously.</w:t>
      </w:r>
    </w:p>
    <w:p>
      <w:pPr>
        <w:spacing w:before="280" w:after="40"/>
      </w:pPr>
      <w:r>
        <w:rPr>
          <w:rFonts w:ascii="Helvetica Neue" w:hAnsi="Helvetica Neue"/>
          <w:b/>
          <w:i w:val="0"/>
          <w:color w:val="0F1117"/>
          <w:sz w:val="32"/>
          <w:rFonts w:ascii="Helvetica Neue" w:hAnsi="Helvetica Neue"/>
        </w:rPr>
        <w:t>14. Monte Carlo  .  KEEP</w:t>
      </w:r>
    </w:p>
    <w:p>
      <w:pPr>
        <w:spacing w:after="40"/>
      </w:pPr>
      <w:r>
        <w:rPr>
          <w:rFonts w:ascii="Helvetica Neue" w:hAnsi="Helvetica Neue"/>
          <w:b w:val="0"/>
          <w:i/>
          <w:color w:val="6B7280"/>
          <w:sz w:val="18"/>
          <w:rFonts w:ascii="Helvetica Neue" w:hAnsi="Helvetica Neue"/>
        </w:rPr>
        <w:t>4,000 triangular shocks on price, vc, fixed. P5 / median / P95 bands plus 24-bin histogram.</w:t>
      </w:r>
    </w:p>
    <w:p>
      <w:pPr>
        <w:jc w:val="center"/>
      </w:pPr>
      <w:r>
        <w:drawing>
          <wp:inline xmlns:a="http://schemas.openxmlformats.org/drawingml/2006/main" xmlns:pic="http://schemas.openxmlformats.org/drawingml/2006/picture">
            <wp:extent cx="5943600" cy="3106203"/>
            <wp:docPr id="14" name="Picture 14"/>
            <wp:cNvGraphicFramePr>
              <a:graphicFrameLocks noChangeAspect="1"/>
            </wp:cNvGraphicFramePr>
            <a:graphic>
              <a:graphicData uri="http://schemas.openxmlformats.org/drawingml/2006/picture">
                <pic:pic>
                  <pic:nvPicPr>
                    <pic:cNvPr id="0" name="14_montecarlo.png"/>
                    <pic:cNvPicPr/>
                  </pic:nvPicPr>
                  <pic:blipFill>
                    <a:blip r:embed="rId22"/>
                    <a:stretch>
                      <a:fillRect/>
                    </a:stretch>
                  </pic:blipFill>
                  <pic:spPr>
                    <a:xfrm>
                      <a:off x="0" y="0"/>
                      <a:ext cx="5943600" cy="3106203"/>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right-skewed distribution typical of CVP under symmetric input shocks: thin price means BE is more sensitive to downward price moves than upward ones. Median 8,966 units. P5 7,003, P95 12,017 — a wide range that quantifies the founder's actual risk. Tunable to +/-10% / +/-20% / +/-30% span and 2k / 4k / 10k runs. Seed-stable, so a re-run with the same seed reproduces the histogram exactly.</w:t>
      </w:r>
    </w:p>
    <w:p>
      <w:pPr>
        <w:spacing w:before="280" w:after="40"/>
      </w:pPr>
      <w:r>
        <w:rPr>
          <w:rFonts w:ascii="Helvetica Neue" w:hAnsi="Helvetica Neue"/>
          <w:b/>
          <w:i w:val="0"/>
          <w:color w:val="0F1117"/>
          <w:sz w:val="32"/>
          <w:rFonts w:ascii="Helvetica Neue" w:hAnsi="Helvetica Neue"/>
        </w:rPr>
        <w:t>15. Time-phased BE  .  KEEP</w:t>
      </w:r>
    </w:p>
    <w:p>
      <w:pPr>
        <w:spacing w:after="40"/>
      </w:pPr>
      <w:r>
        <w:rPr>
          <w:rFonts w:ascii="Helvetica Neue" w:hAnsi="Helvetica Neue"/>
          <w:b w:val="0"/>
          <w:i/>
          <w:color w:val="6B7280"/>
          <w:sz w:val="18"/>
          <w:rFonts w:ascii="Helvetica Neue" w:hAnsi="Helvetica Neue"/>
        </w:rPr>
        <w:t>Cumulative BE crossing on a planned volume curve.</w:t>
      </w:r>
    </w:p>
    <w:p>
      <w:pPr>
        <w:jc w:val="center"/>
      </w:pPr>
      <w:r>
        <w:drawing>
          <wp:inline xmlns:a="http://schemas.openxmlformats.org/drawingml/2006/main" xmlns:pic="http://schemas.openxmlformats.org/drawingml/2006/picture">
            <wp:extent cx="5943600" cy="4203828"/>
            <wp:docPr id="15" name="Picture 15"/>
            <wp:cNvGraphicFramePr>
              <a:graphicFrameLocks noChangeAspect="1"/>
            </wp:cNvGraphicFramePr>
            <a:graphic>
              <a:graphicData uri="http://schemas.openxmlformats.org/drawingml/2006/picture">
                <pic:pic>
                  <pic:nvPicPr>
                    <pic:cNvPr id="0" name="15_timephased.png"/>
                    <pic:cNvPicPr/>
                  </pic:nvPicPr>
                  <pic:blipFill>
                    <a:blip r:embed="rId23"/>
                    <a:stretch>
                      <a:fillRect/>
                    </a:stretch>
                  </pic:blipFill>
                  <pic:spPr>
                    <a:xfrm>
                      <a:off x="0" y="0"/>
                      <a:ext cx="5943600" cy="4203828"/>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When a 'volume_curve' sheet is present, the tool walks the periods and accumulates units while fixed recurs each period. The cafe's planned ramp goes 6,300 to 12,400 over six months. Cumulative profit dips to -GBP 9,575 in May before climbing back. The first period where cumulative profit crosses zero is 2026-08 (GBP 1,105). 2026-09 sits in the green at GBP 9,965. The polyline marks the crossing month with a magenta dot.</w:t>
      </w:r>
    </w:p>
    <w:p>
      <w:pPr>
        <w:spacing w:before="280" w:after="40"/>
      </w:pPr>
      <w:r>
        <w:rPr>
          <w:rFonts w:ascii="Helvetica Neue" w:hAnsi="Helvetica Neue"/>
          <w:b/>
          <w:i w:val="0"/>
          <w:color w:val="0F1117"/>
          <w:sz w:val="32"/>
          <w:rFonts w:ascii="Helvetica Neue" w:hAnsi="Helvetica Neue"/>
        </w:rPr>
        <w:t>16. Show-the-working panel</w:t>
      </w:r>
    </w:p>
    <w:p>
      <w:pPr>
        <w:spacing w:after="40"/>
      </w:pPr>
      <w:r>
        <w:rPr>
          <w:rFonts w:ascii="Helvetica Neue" w:hAnsi="Helvetica Neue"/>
          <w:b w:val="0"/>
          <w:i/>
          <w:color w:val="6B7280"/>
          <w:sz w:val="18"/>
          <w:rFonts w:ascii="Helvetica Neue" w:hAnsi="Helvetica Neue"/>
        </w:rPr>
        <w:t>Eight formulas with substituted values for audit and teaching.</w:t>
      </w:r>
    </w:p>
    <w:p>
      <w:pPr>
        <w:jc w:val="center"/>
      </w:pPr>
      <w:r>
        <w:drawing>
          <wp:inline xmlns:a="http://schemas.openxmlformats.org/drawingml/2006/main" xmlns:pic="http://schemas.openxmlformats.org/drawingml/2006/picture">
            <wp:extent cx="5943600" cy="5211850"/>
            <wp:docPr id="16" name="Picture 16"/>
            <wp:cNvGraphicFramePr>
              <a:graphicFrameLocks noChangeAspect="1"/>
            </wp:cNvGraphicFramePr>
            <a:graphic>
              <a:graphicData uri="http://schemas.openxmlformats.org/drawingml/2006/picture">
                <pic:pic>
                  <pic:nvPicPr>
                    <pic:cNvPr id="0" name="16_working.png"/>
                    <pic:cNvPicPr/>
                  </pic:nvPicPr>
                  <pic:blipFill>
                    <a:blip r:embed="rId24"/>
                    <a:stretch>
                      <a:fillRect/>
                    </a:stretch>
                  </pic:blipFill>
                  <pic:spPr>
                    <a:xfrm>
                      <a:off x="0" y="0"/>
                      <a:ext cx="5943600" cy="5211850"/>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Collapsible card. CM = price - vc = GBP 4.20 - GBP 1.55 = GBP 2.65. CM ratio = CM / price = GBP 2.65 / GBP 4.20 = 63.10%. BE units = fixed / CM = GBP 24,000 / GBP 2.65 = 9,057. Then BE revenue, target-profit volume, MoS, cash BE, operating leverage. Every formula has the live numbers substituted in. Useful when an accountant wants to audit the maths or a finance student wants to learn it.</w:t>
      </w:r>
    </w:p>
    <w:p>
      <w:pPr>
        <w:spacing w:before="280" w:after="40"/>
      </w:pPr>
      <w:r>
        <w:rPr>
          <w:rFonts w:ascii="Helvetica Neue" w:hAnsi="Helvetica Neue"/>
          <w:b/>
          <w:i w:val="0"/>
          <w:color w:val="0F1117"/>
          <w:sz w:val="32"/>
          <w:rFonts w:ascii="Helvetica Neue" w:hAnsi="Helvetica Neue"/>
        </w:rPr>
        <w:t>17. Export bar</w:t>
      </w:r>
    </w:p>
    <w:p>
      <w:pPr>
        <w:spacing w:after="40"/>
      </w:pPr>
      <w:r>
        <w:rPr>
          <w:rFonts w:ascii="Helvetica Neue" w:hAnsi="Helvetica Neue"/>
          <w:b w:val="0"/>
          <w:i/>
          <w:color w:val="6B7280"/>
          <w:sz w:val="18"/>
          <w:rFonts w:ascii="Helvetica Neue" w:hAnsi="Helvetica Neue"/>
        </w:rPr>
        <w:t>XLSX, CSV, PDF, PPTX. Embedded chart PNGs, currency-aware formatting.</w:t>
      </w:r>
    </w:p>
    <w:p>
      <w:pPr>
        <w:jc w:val="center"/>
      </w:pPr>
      <w:r>
        <w:drawing>
          <wp:inline xmlns:a="http://schemas.openxmlformats.org/drawingml/2006/main" xmlns:pic="http://schemas.openxmlformats.org/drawingml/2006/picture">
            <wp:extent cx="5943600" cy="993089"/>
            <wp:docPr id="17" name="Picture 17"/>
            <wp:cNvGraphicFramePr>
              <a:graphicFrameLocks noChangeAspect="1"/>
            </wp:cNvGraphicFramePr>
            <a:graphic>
              <a:graphicData uri="http://schemas.openxmlformats.org/drawingml/2006/picture">
                <pic:pic>
                  <pic:nvPicPr>
                    <pic:cNvPr id="0" name="17_downloads.png"/>
                    <pic:cNvPicPr/>
                  </pic:nvPicPr>
                  <pic:blipFill>
                    <a:blip r:embed="rId25"/>
                    <a:stretch>
                      <a:fillRect/>
                    </a:stretch>
                  </pic:blipFill>
                  <pic:spPr>
                    <a:xfrm>
                      <a:off x="0" y="0"/>
                      <a:ext cx="5943600" cy="993089"/>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All four exports are generated from the same AnalysisResult. The XLSX has Summary, Inputs, and Sensitivity sheets with embedded break-even chart and tornado PNGs. The PDF is a 3-page A4 memo (cover + chart + sensitivity &amp; verdict). The PPTX is a 3-slide deck. The CSV is the flat sensitivity grid encoded utf-8-sig so Excel auto-detects UTF-8.</w:t>
      </w:r>
    </w:p>
    <w:p>
      <w:pPr>
        <w:spacing w:before="280" w:after="40"/>
      </w:pPr>
      <w:r>
        <w:rPr>
          <w:rFonts w:ascii="Helvetica Neue" w:hAnsi="Helvetica Neue"/>
          <w:b/>
          <w:i w:val="0"/>
          <w:color w:val="0F1117"/>
          <w:sz w:val="32"/>
          <w:rFonts w:ascii="Helvetica Neue" w:hAnsi="Helvetica Neue"/>
        </w:rPr>
        <w:t>18. AI verdict + follow-up  .  KEEP</w:t>
      </w:r>
    </w:p>
    <w:p>
      <w:pPr>
        <w:spacing w:after="40"/>
      </w:pPr>
      <w:r>
        <w:rPr>
          <w:rFonts w:ascii="Helvetica Neue" w:hAnsi="Helvetica Neue"/>
          <w:b w:val="0"/>
          <w:i/>
          <w:color w:val="6B7280"/>
          <w:sz w:val="18"/>
          <w:rFonts w:ascii="Helvetica Neue" w:hAnsi="Helvetica Neue"/>
        </w:rPr>
        <w:t>Serif pull-quote with magenta left rail. One DeepSeek call, one optional follow-up.</w:t>
      </w:r>
    </w:p>
    <w:p>
      <w:pPr>
        <w:jc w:val="center"/>
      </w:pPr>
      <w:r>
        <w:drawing>
          <wp:inline xmlns:a="http://schemas.openxmlformats.org/drawingml/2006/main" xmlns:pic="http://schemas.openxmlformats.org/drawingml/2006/picture">
            <wp:extent cx="5943600" cy="3890221"/>
            <wp:docPr id="18" name="Picture 18"/>
            <wp:cNvGraphicFramePr>
              <a:graphicFrameLocks noChangeAspect="1"/>
            </wp:cNvGraphicFramePr>
            <a:graphic>
              <a:graphicData uri="http://schemas.openxmlformats.org/drawingml/2006/picture">
                <pic:pic>
                  <pic:nvPicPr>
                    <pic:cNvPr id="0" name="18_ai.png"/>
                    <pic:cNvPicPr/>
                  </pic:nvPicPr>
                  <pic:blipFill>
                    <a:blip r:embed="rId26"/>
                    <a:stretch>
                      <a:fillRect/>
                    </a:stretch>
                  </pic:blipFill>
                  <pic:spPr>
                    <a:xfrm>
                      <a:off x="0" y="0"/>
                      <a:ext cx="5943600" cy="3890221"/>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Coffee shop sample. Verdict: 'The business model is viable but fragile, with price as the dominant risk.' Body: 'At current volume, you have a 22% margin of safety, but high operating leverage (4.53x) means small revenue drops hit profit hard. Price is the dominant risk: a 10% price cut raises break-even by 1,541 units, far more than equivalent changes in variable or fixed costs.' Risks (magenta dot) and Actions (purple dot) follow. The 'Ask a follow-up' box on the same card answers free-text questions for around $0.00013.</w:t>
      </w:r>
    </w:p>
    <w:p>
      <w:pPr>
        <w:spacing w:before="400" w:after="120"/>
      </w:pPr>
      <w:r>
        <w:rPr>
          <w:rFonts w:ascii="Helvetica Neue" w:hAnsi="Helvetica Neue"/>
          <w:b/>
          <w:i w:val="0"/>
          <w:color w:val="0F1117"/>
          <w:sz w:val="44"/>
          <w:rFonts w:ascii="Helvetica Neue" w:hAnsi="Helvetica Neue"/>
        </w:rPr>
        <w:t>How it works</w:t>
      </w:r>
    </w:p>
    <w:p>
      <w:pPr>
        <w:spacing w:before="280" w:after="40"/>
      </w:pPr>
      <w:r>
        <w:rPr>
          <w:rFonts w:ascii="Helvetica Neue" w:hAnsi="Helvetica Neue"/>
          <w:b/>
          <w:i w:val="0"/>
          <w:color w:val="0F1117"/>
          <w:sz w:val="32"/>
          <w:rFonts w:ascii="Helvetica Neue" w:hAnsi="Helvetica Neue"/>
        </w:rPr>
        <w:t>The Tool:</w:t>
      </w:r>
    </w:p>
    <w:p>
      <w:pPr>
        <w:spacing w:after="160"/>
      </w:pPr>
      <w:r>
        <w:rPr>
          <w:rFonts w:ascii="Helvetica Neue" w:hAnsi="Helvetica Neue"/>
          <w:b w:val="0"/>
          <w:i w:val="0"/>
          <w:color w:val="0F1117"/>
          <w:sz w:val="22"/>
          <w:rFonts w:ascii="Helvetica Neue" w:hAnsi="Helvetica Neue"/>
        </w:rPr>
        <w:t>Pure-Python deterministic core. cvp_schema.py parses the workbook into typed dataclasses (CVPMetadata, CVPInputs, Product, StepCost, VolumePoint). cvp_maths.py is pure functions: headline_stats, sensitivity_table, tornado, multi_product_stats, step_cost_be, time_phased_be, heatmap_grid, operating_leverage_at. monte_carlo.py runs 4,000 triangular shocks with a stable seed. benchmarks.py is a curated dictionary of 10 industries with CM-ratio bands. The pipeline (pipeline.py) orchestrates: parse, do the maths, optionally call DeepSeek, return one AnalysisResult that the writers and front-end serialise from.</w:t>
      </w:r>
    </w:p>
    <w:p>
      <w:pPr>
        <w:spacing w:before="280" w:after="40"/>
      </w:pPr>
      <w:r>
        <w:rPr>
          <w:rFonts w:ascii="Helvetica Neue" w:hAnsi="Helvetica Neue"/>
          <w:b/>
          <w:i w:val="0"/>
          <w:color w:val="0F1117"/>
          <w:sz w:val="32"/>
          <w:rFonts w:ascii="Helvetica Neue" w:hAnsi="Helvetica Neue"/>
        </w:rPr>
        <w:t>AI Verdict + Follow-up:</w:t>
      </w:r>
    </w:p>
    <w:p>
      <w:pPr>
        <w:spacing w:after="160"/>
      </w:pPr>
      <w:r>
        <w:rPr>
          <w:rFonts w:ascii="Helvetica Neue" w:hAnsi="Helvetica Neue"/>
          <w:b w:val="0"/>
          <w:i w:val="0"/>
          <w:color w:val="0F1117"/>
          <w:sz w:val="22"/>
          <w:rFonts w:ascii="Helvetica Neue" w:hAnsi="Helvetica Neue"/>
        </w:rPr>
        <w:t>One DeepSeek V4 call per analysis. The system prompt instructs a CFO voice, two to three sentences, do-not-restate the inputs. The user prompt is a pre-summarised digest: company, period, currency, unit economics, headline stats, sensitivity per variable, dominant lever. JSON mode returns headline + summary + risks + actions in a strict shape. The follow-up endpoint reads the cached run, builds a 4-line summary plus the question, and asks for a 2 to 3 sentence answer. Content-hash cache stores parsed payloads so identical inputs never pay twice. Cost guardrail of $0.05 per run via DAY06_MAX_COST_USD.</w:t>
      </w:r>
    </w:p>
    <w:p>
      <w:pPr>
        <w:spacing w:before="280" w:after="40"/>
      </w:pPr>
      <w:r>
        <w:rPr>
          <w:rFonts w:ascii="Helvetica Neue" w:hAnsi="Helvetica Neue"/>
          <w:b/>
          <w:i w:val="0"/>
          <w:color w:val="0F1117"/>
          <w:sz w:val="32"/>
          <w:rFonts w:ascii="Helvetica Neue" w:hAnsi="Helvetica Neue"/>
        </w:rPr>
        <w:t>Live What-If, Mix Sliders, Heatmap, URL state:</w:t>
      </w:r>
    </w:p>
    <w:p>
      <w:pPr>
        <w:spacing w:after="160"/>
      </w:pPr>
      <w:r>
        <w:rPr>
          <w:rFonts w:ascii="Helvetica Neue" w:hAnsi="Helvetica Neue"/>
          <w:b w:val="0"/>
          <w:i w:val="0"/>
          <w:color w:val="0F1117"/>
          <w:sz w:val="22"/>
          <w:rFonts w:ascii="Helvetica Neue" w:hAnsi="Helvetica Neue"/>
        </w:rPr>
        <w:t>All client-side. The break-even maths is one division, so the JS recomputes it on every slider tick without hitting the server. The mix-shift sliders auto-normalise to 100% with a magenta warning line if the user drags the sum off. The 2D heatmap is a 9x9 grid coloured with a green-to-magenta scale; the baseline cell is outlined in magenta. URL state encodes price/vc/fixed/volume/target/currency into the querystring on every successful run, so a 'SHARE URL' button copies a self-contained link to the clipboard. Print stylesheet hides the controls and turns the page into a clean memo.</w:t>
      </w:r>
    </w:p>
    <w:p>
      <w:pPr>
        <w:spacing w:before="280" w:after="40"/>
      </w:pPr>
      <w:r>
        <w:rPr>
          <w:rFonts w:ascii="Helvetica Neue" w:hAnsi="Helvetica Neue"/>
          <w:b/>
          <w:i w:val="0"/>
          <w:color w:val="0F1117"/>
          <w:sz w:val="32"/>
          <w:rFonts w:ascii="Helvetica Neue" w:hAnsi="Helvetica Neue"/>
        </w:rPr>
        <w:t>Excel &amp; Exports:</w:t>
      </w:r>
    </w:p>
    <w:p>
      <w:pPr>
        <w:spacing w:after="160"/>
      </w:pPr>
      <w:r>
        <w:rPr>
          <w:rFonts w:ascii="Helvetica Neue" w:hAnsi="Helvetica Neue"/>
          <w:b w:val="0"/>
          <w:i w:val="0"/>
          <w:color w:val="0F1117"/>
          <w:sz w:val="22"/>
          <w:rFonts w:ascii="Helvetica Neue" w:hAnsi="Helvetica Neue"/>
        </w:rPr>
        <w:t>openpyxl writes a 3-sheet workbook (Summary, Inputs, Sensitivity) with embedded break-even chart and tornado PNGs (rendered by matplotlib, Agg backend). Currency-aware formatting (GBP / USD / EUR / fallback). The CSV is utf-8-sig encoded so Excel auto-detects. python-pptx writes a 3-slide deck (cover / chart / sensitivity + verdict). matplotlib.backends.backend_pdf writes a 3-page A4 PDF memo. Filenames include a slugified company + period + timestamp.</w:t>
      </w:r>
    </w:p>
    <w:p>
      <w:pPr>
        <w:spacing w:before="400" w:after="120"/>
      </w:pPr>
      <w:r>
        <w:rPr>
          <w:rFonts w:ascii="Helvetica Neue" w:hAnsi="Helvetica Neue"/>
          <w:b/>
          <w:i w:val="0"/>
          <w:color w:val="0F1117"/>
          <w:sz w:val="44"/>
          <w:rFonts w:ascii="Helvetica Neue" w:hAnsi="Helvetica Neue"/>
        </w:rPr>
        <w:t>Limitations addressed</w:t>
      </w:r>
    </w:p>
    <w:p>
      <w:pPr>
        <w:spacing w:after="160"/>
      </w:pPr>
      <w:r>
        <w:rPr>
          <w:rFonts w:ascii="Helvetica Neue" w:hAnsi="Helvetica Neue"/>
          <w:b w:val="0"/>
          <w:i w:val="0"/>
          <w:color w:val="0F1117"/>
          <w:sz w:val="22"/>
          <w:rFonts w:ascii="Helvetica Neue" w:hAnsi="Helvetica Neue"/>
        </w:rPr>
        <w:t>Day 6 originally shipped with an honest limitations list. Most of it is now in the build (hence the .1 release). Each item below was a 'we don't do this yet' in the first README; the description is what shipped in 6.1.</w:t>
      </w:r>
    </w:p>
    <w:p>
      <w:pPr>
        <w:pStyle w:val="ListBullet"/>
      </w:pPr>
      <w:r>
        <w:rPr>
          <w:rFonts w:ascii="Helvetica Neue" w:hAnsi="Helvetica Neue"/>
          <w:b/>
          <w:i w:val="0"/>
          <w:color w:val="0F1117"/>
          <w:sz w:val="22"/>
          <w:rFonts w:ascii="Helvetica Neue" w:hAnsi="Helvetica Neue"/>
        </w:rPr>
        <w:t>Multi-product weighted CM.</w:t>
      </w:r>
      <w:r>
        <w:rPr>
          <w:rFonts w:ascii="Helvetica Neue" w:hAnsi="Helvetica Neue"/>
          <w:b w:val="0"/>
          <w:i w:val="0"/>
          <w:color w:val="0F1117"/>
          <w:sz w:val="22"/>
          <w:rFonts w:ascii="Helvetica Neue" w:hAnsi="Helvetica Neue"/>
        </w:rPr>
        <w:t xml:space="preserve">  Card 10 reads a 'products' sheet, computes weighted price/vc/CM, blended BE, and per-product BE allocation. Three live mix-shift sliders let the founder shift mix and watch BE recompute live, with auto-normalisation.</w:t>
      </w:r>
    </w:p>
    <w:p>
      <w:pPr>
        <w:pStyle w:val="ListBullet"/>
      </w:pPr>
      <w:r>
        <w:rPr>
          <w:rFonts w:ascii="Helvetica Neue" w:hAnsi="Helvetica Neue"/>
          <w:b/>
          <w:i w:val="0"/>
          <w:color w:val="0F1117"/>
          <w:sz w:val="22"/>
          <w:rFonts w:ascii="Helvetica Neue" w:hAnsi="Helvetica Neue"/>
        </w:rPr>
        <w:t>Step-cost behaviour.</w:t>
      </w:r>
      <w:r>
        <w:rPr>
          <w:rFonts w:ascii="Helvetica Neue" w:hAnsi="Helvetica Neue"/>
          <w:b w:val="0"/>
          <w:i w:val="0"/>
          <w:color w:val="0F1117"/>
          <w:sz w:val="22"/>
          <w:rFonts w:ascii="Helvetica Neue" w:hAnsi="Helvetica Neue"/>
        </w:rPr>
        <w:t xml:space="preserve">  Card 11 reads a 'step_costs' sheet, walks the ladder of fixed-cost thresholds, recomputes BE inside each segment, and highlights the first reachable BE.</w:t>
      </w:r>
    </w:p>
    <w:p>
      <w:pPr>
        <w:pStyle w:val="ListBullet"/>
      </w:pPr>
      <w:r>
        <w:rPr>
          <w:rFonts w:ascii="Helvetica Neue" w:hAnsi="Helvetica Neue"/>
          <w:b/>
          <w:i w:val="0"/>
          <w:color w:val="0F1117"/>
          <w:sz w:val="22"/>
          <w:rFonts w:ascii="Helvetica Neue" w:hAnsi="Helvetica Neue"/>
        </w:rPr>
        <w:t>Time-phased BE.</w:t>
      </w:r>
      <w:r>
        <w:rPr>
          <w:rFonts w:ascii="Helvetica Neue" w:hAnsi="Helvetica Neue"/>
          <w:b w:val="0"/>
          <w:i w:val="0"/>
          <w:color w:val="0F1117"/>
          <w:sz w:val="22"/>
          <w:rFonts w:ascii="Helvetica Neue" w:hAnsi="Helvetica Neue"/>
        </w:rPr>
        <w:t xml:space="preserve">  Card 15 reads a 'volume_curve' sheet, accumulates units while fixed recurs, finds the first period where cumulative profit crosses zero. Polyline plus per-period table.</w:t>
      </w:r>
    </w:p>
    <w:p>
      <w:pPr>
        <w:pStyle w:val="ListBullet"/>
      </w:pPr>
      <w:r>
        <w:rPr>
          <w:rFonts w:ascii="Helvetica Neue" w:hAnsi="Helvetica Neue"/>
          <w:b/>
          <w:i w:val="0"/>
          <w:color w:val="0F1117"/>
          <w:sz w:val="22"/>
          <w:rFonts w:ascii="Helvetica Neue" w:hAnsi="Helvetica Neue"/>
        </w:rPr>
        <w:t>Capacity constraints.</w:t>
      </w:r>
      <w:r>
        <w:rPr>
          <w:rFonts w:ascii="Helvetica Neue" w:hAnsi="Helvetica Neue"/>
          <w:b w:val="0"/>
          <w:i w:val="0"/>
          <w:color w:val="0F1117"/>
          <w:sz w:val="22"/>
          <w:rFonts w:ascii="Helvetica Neue" w:hAnsi="Helvetica Neue"/>
        </w:rPr>
        <w:t xml:space="preserve">  metadata.capacity_units. REACHABLE / NOT REACHABLE pill plus a magenta dashed capacity line on the chart. Buffer percent shows headroom.</w:t>
      </w:r>
    </w:p>
    <w:p>
      <w:pPr>
        <w:pStyle w:val="ListBullet"/>
      </w:pPr>
      <w:r>
        <w:rPr>
          <w:rFonts w:ascii="Helvetica Neue" w:hAnsi="Helvetica Neue"/>
          <w:b/>
          <w:i w:val="0"/>
          <w:color w:val="0F1117"/>
          <w:sz w:val="22"/>
          <w:rFonts w:ascii="Helvetica Neue" w:hAnsi="Helvetica Neue"/>
        </w:rPr>
        <w:t>Stochastic sensitivity (Monte Carlo).</w:t>
      </w:r>
      <w:r>
        <w:rPr>
          <w:rFonts w:ascii="Helvetica Neue" w:hAnsi="Helvetica Neue"/>
          <w:b w:val="0"/>
          <w:i w:val="0"/>
          <w:color w:val="0F1117"/>
          <w:sz w:val="22"/>
          <w:rFonts w:ascii="Helvetica Neue" w:hAnsi="Helvetica Neue"/>
        </w:rPr>
        <w:t xml:space="preserve">  Card 14. 4,000 triangular shocks on three inputs, P5 / P25 / median / P75 / P95, 24-bin histogram, tunable span (10/20/30%) and runs (2k/4k/10k). Seed-stable.</w:t>
      </w:r>
    </w:p>
    <w:p>
      <w:pPr>
        <w:pStyle w:val="ListBullet"/>
      </w:pPr>
      <w:r>
        <w:rPr>
          <w:rFonts w:ascii="Helvetica Neue" w:hAnsi="Helvetica Neue"/>
          <w:b/>
          <w:i w:val="0"/>
          <w:color w:val="0F1117"/>
          <w:sz w:val="22"/>
          <w:rFonts w:ascii="Helvetica Neue" w:hAnsi="Helvetica Neue"/>
        </w:rPr>
        <w:t>Bank covenants overlay.</w:t>
      </w:r>
      <w:r>
        <w:rPr>
          <w:rFonts w:ascii="Helvetica Neue" w:hAnsi="Helvetica Neue"/>
          <w:b w:val="0"/>
          <w:i w:val="0"/>
          <w:color w:val="0F1117"/>
          <w:sz w:val="22"/>
          <w:rFonts w:ascii="Helvetica Neue" w:hAnsi="Helvetica Neue"/>
        </w:rPr>
        <w:t xml:space="preserve">  metadata.covenant_min_revenue. OK / BREACH pill plus buffer percent vs current revenue.</w:t>
      </w:r>
    </w:p>
    <w:p>
      <w:pPr>
        <w:pStyle w:val="ListBullet"/>
      </w:pPr>
      <w:r>
        <w:rPr>
          <w:rFonts w:ascii="Helvetica Neue" w:hAnsi="Helvetica Neue"/>
          <w:b/>
          <w:i w:val="0"/>
          <w:color w:val="0F1117"/>
          <w:sz w:val="22"/>
          <w:rFonts w:ascii="Helvetica Neue" w:hAnsi="Helvetica Neue"/>
        </w:rPr>
        <w:t>Industry benchmark overlay.</w:t>
      </w:r>
      <w:r>
        <w:rPr>
          <w:rFonts w:ascii="Helvetica Neue" w:hAnsi="Helvetica Neue"/>
          <w:b w:val="0"/>
          <w:i w:val="0"/>
          <w:color w:val="0F1117"/>
          <w:sz w:val="22"/>
          <w:rFonts w:ascii="Helvetica Neue" w:hAnsi="Helvetica Neue"/>
        </w:rPr>
        <w:t xml:space="preserve">  metadata.industry. Peer CM range band under the contribution-margin tile, with above / in_range / below classification across 10 industries.</w:t>
      </w:r>
    </w:p>
    <w:p>
      <w:pPr>
        <w:pStyle w:val="ListBullet"/>
      </w:pPr>
      <w:r>
        <w:rPr>
          <w:rFonts w:ascii="Helvetica Neue" w:hAnsi="Helvetica Neue"/>
          <w:b/>
          <w:i w:val="0"/>
          <w:color w:val="0F1117"/>
          <w:sz w:val="22"/>
          <w:rFonts w:ascii="Helvetica Neue" w:hAnsi="Helvetica Neue"/>
        </w:rPr>
        <w:t>Save / name / re-open scenarios.</w:t>
      </w:r>
      <w:r>
        <w:rPr>
          <w:rFonts w:ascii="Helvetica Neue" w:hAnsi="Helvetica Neue"/>
          <w:b w:val="0"/>
          <w:i w:val="0"/>
          <w:color w:val="0F1117"/>
          <w:sz w:val="22"/>
          <w:rFonts w:ascii="Helvetica Neue" w:hAnsi="Helvetica Neue"/>
        </w:rPr>
        <w:t xml:space="preserve">  Save button, named runs in the dock, click to re-open. Server-side label persists in run cache.</w:t>
      </w:r>
    </w:p>
    <w:p>
      <w:pPr>
        <w:pStyle w:val="ListBullet"/>
      </w:pPr>
      <w:r>
        <w:rPr>
          <w:rFonts w:ascii="Helvetica Neue" w:hAnsi="Helvetica Neue"/>
          <w:b/>
          <w:i w:val="0"/>
          <w:color w:val="0F1117"/>
          <w:sz w:val="22"/>
          <w:rFonts w:ascii="Helvetica Neue" w:hAnsi="Helvetica Neue"/>
        </w:rPr>
        <w:t>Compare two runs.</w:t>
      </w:r>
      <w:r>
        <w:rPr>
          <w:rFonts w:ascii="Helvetica Neue" w:hAnsi="Helvetica Neue"/>
          <w:b w:val="0"/>
          <w:i w:val="0"/>
          <w:color w:val="0F1117"/>
          <w:sz w:val="22"/>
          <w:rFonts w:ascii="Helvetica Neue" w:hAnsi="Helvetica Neue"/>
        </w:rPr>
        <w:t xml:space="preserve">  Pick two saved runs in the dock, click Compare, see deltas across 9 metrics in a table.</w:t>
      </w:r>
    </w:p>
    <w:p>
      <w:pPr>
        <w:pStyle w:val="ListBullet"/>
      </w:pPr>
      <w:r>
        <w:rPr>
          <w:rFonts w:ascii="Helvetica Neue" w:hAnsi="Helvetica Neue"/>
          <w:b/>
          <w:i w:val="0"/>
          <w:color w:val="0F1117"/>
          <w:sz w:val="22"/>
          <w:rFonts w:ascii="Helvetica Neue" w:hAnsi="Helvetica Neue"/>
        </w:rPr>
        <w:t>AI free-text follow-up.</w:t>
      </w:r>
      <w:r>
        <w:rPr>
          <w:rFonts w:ascii="Helvetica Neue" w:hAnsi="Helvetica Neue"/>
          <w:b w:val="0"/>
          <w:i w:val="0"/>
          <w:color w:val="0F1117"/>
          <w:sz w:val="22"/>
          <w:rFonts w:ascii="Helvetica Neue" w:hAnsi="Helvetica Neue"/>
        </w:rPr>
        <w:t xml:space="preserve">  Ask-a-follow-up box on the verdict card. Around $0.00013 per question on deepseek-chat.</w:t>
      </w:r>
    </w:p>
    <w:p>
      <w:pPr>
        <w:pStyle w:val="ListBullet"/>
      </w:pPr>
      <w:r>
        <w:rPr>
          <w:rFonts w:ascii="Helvetica Neue" w:hAnsi="Helvetica Neue"/>
          <w:b/>
          <w:i w:val="0"/>
          <w:color w:val="0F1117"/>
          <w:sz w:val="22"/>
          <w:rFonts w:ascii="Helvetica Neue" w:hAnsi="Helvetica Neue"/>
        </w:rPr>
        <w:t>2D sensitivity heatmap.</w:t>
      </w:r>
      <w:r>
        <w:rPr>
          <w:rFonts w:ascii="Helvetica Neue" w:hAnsi="Helvetica Neue"/>
          <w:b w:val="0"/>
          <w:i w:val="0"/>
          <w:color w:val="0F1117"/>
          <w:sz w:val="22"/>
          <w:rFonts w:ascii="Helvetica Neue" w:hAnsi="Helvetica Neue"/>
        </w:rPr>
        <w:t xml:space="preserve">  Card 13. 9x9 grid, green-to-magenta scale, baseline outlined.</w:t>
      </w:r>
    </w:p>
    <w:p>
      <w:pPr>
        <w:pStyle w:val="ListBullet"/>
      </w:pPr>
      <w:r>
        <w:rPr>
          <w:rFonts w:ascii="Helvetica Neue" w:hAnsi="Helvetica Neue"/>
          <w:b/>
          <w:i w:val="0"/>
          <w:color w:val="0F1117"/>
          <w:sz w:val="22"/>
          <w:rFonts w:ascii="Helvetica Neue" w:hAnsi="Helvetica Neue"/>
        </w:rPr>
        <w:t>Live what-if sliders.</w:t>
      </w:r>
      <w:r>
        <w:rPr>
          <w:rFonts w:ascii="Helvetica Neue" w:hAnsi="Helvetica Neue"/>
          <w:b w:val="0"/>
          <w:i w:val="0"/>
          <w:color w:val="0F1117"/>
          <w:sz w:val="22"/>
          <w:rFonts w:ascii="Helvetica Neue" w:hAnsi="Helvetica Neue"/>
        </w:rPr>
        <w:t xml:space="preserve">  Card 7. Four sliders that recompute four KPIs (BE, CM ratio, MoS, profit at current volume) with delta-vs-base hints.</w:t>
      </w:r>
    </w:p>
    <w:p>
      <w:pPr>
        <w:pStyle w:val="ListBullet"/>
      </w:pPr>
      <w:r>
        <w:rPr>
          <w:rFonts w:ascii="Helvetica Neue" w:hAnsi="Helvetica Neue"/>
          <w:b/>
          <w:i w:val="0"/>
          <w:color w:val="0F1117"/>
          <w:sz w:val="22"/>
          <w:rFonts w:ascii="Helvetica Neue" w:hAnsi="Helvetica Neue"/>
        </w:rPr>
        <w:t>Inverse target-profit calculator.</w:t>
      </w:r>
      <w:r>
        <w:rPr>
          <w:rFonts w:ascii="Helvetica Neue" w:hAnsi="Helvetica Neue"/>
          <w:b w:val="0"/>
          <w:i w:val="0"/>
          <w:color w:val="0F1117"/>
          <w:sz w:val="22"/>
          <w:rFonts w:ascii="Helvetica Neue" w:hAnsi="Helvetica Neue"/>
        </w:rPr>
        <w:t xml:space="preserve">  Card 8. Three modes: profit-from-volume, volume-from-profit, price-from-target-margin.</w:t>
      </w:r>
    </w:p>
    <w:p>
      <w:pPr>
        <w:pStyle w:val="ListBullet"/>
      </w:pPr>
      <w:r>
        <w:rPr>
          <w:rFonts w:ascii="Helvetica Neue" w:hAnsi="Helvetica Neue"/>
          <w:b/>
          <w:i w:val="0"/>
          <w:color w:val="0F1117"/>
          <w:sz w:val="22"/>
          <w:rFonts w:ascii="Helvetica Neue" w:hAnsi="Helvetica Neue"/>
        </w:rPr>
        <w:t>Compare-three pricing.</w:t>
      </w:r>
      <w:r>
        <w:rPr>
          <w:rFonts w:ascii="Helvetica Neue" w:hAnsi="Helvetica Neue"/>
          <w:b w:val="0"/>
          <w:i w:val="0"/>
          <w:color w:val="0F1117"/>
          <w:sz w:val="22"/>
          <w:rFonts w:ascii="Helvetica Neue" w:hAnsi="Helvetica Neue"/>
        </w:rPr>
        <w:t xml:space="preserve">  Card 9. Three price inputs, three result columns side by side.</w:t>
      </w:r>
    </w:p>
    <w:p>
      <w:pPr>
        <w:pStyle w:val="ListBullet"/>
      </w:pPr>
      <w:r>
        <w:rPr>
          <w:rFonts w:ascii="Helvetica Neue" w:hAnsi="Helvetica Neue"/>
          <w:b/>
          <w:i w:val="0"/>
          <w:color w:val="0F1117"/>
          <w:sz w:val="22"/>
          <w:rFonts w:ascii="Helvetica Neue" w:hAnsi="Helvetica Neue"/>
        </w:rPr>
        <w:t>Shareable URL + print.</w:t>
      </w:r>
      <w:r>
        <w:rPr>
          <w:rFonts w:ascii="Helvetica Neue" w:hAnsi="Helvetica Neue"/>
          <w:b w:val="0"/>
          <w:i w:val="0"/>
          <w:color w:val="0F1117"/>
          <w:sz w:val="22"/>
          <w:rFonts w:ascii="Helvetica Neue" w:hAnsi="Helvetica Neue"/>
        </w:rPr>
        <w:t xml:space="preserve">  Inputs encoded as querystring; SHARE URL copies to clipboard. Print stylesheet hides controls and turns the page into a clean memo.</w:t>
      </w:r>
    </w:p>
    <w:p>
      <w:pPr>
        <w:pStyle w:val="ListBullet"/>
      </w:pPr>
      <w:r>
        <w:rPr>
          <w:rFonts w:ascii="Helvetica Neue" w:hAnsi="Helvetica Neue"/>
          <w:b/>
          <w:i w:val="0"/>
          <w:color w:val="0F1117"/>
          <w:sz w:val="22"/>
          <w:rFonts w:ascii="Helvetica Neue" w:hAnsi="Helvetica Neue"/>
        </w:rPr>
        <w:t>Show-the-working panel.</w:t>
      </w:r>
      <w:r>
        <w:rPr>
          <w:rFonts w:ascii="Helvetica Neue" w:hAnsi="Helvetica Neue"/>
          <w:b w:val="0"/>
          <w:i w:val="0"/>
          <w:color w:val="0F1117"/>
          <w:sz w:val="22"/>
          <w:rFonts w:ascii="Helvetica Neue" w:hAnsi="Helvetica Neue"/>
        </w:rPr>
        <w:t xml:space="preserve">  Card 16. Eight formulas with live substituted values for audit / teaching.</w:t>
      </w:r>
    </w:p>
    <w:p>
      <w:pPr>
        <w:spacing w:before="400" w:after="120"/>
      </w:pPr>
      <w:r>
        <w:rPr>
          <w:rFonts w:ascii="Helvetica Neue" w:hAnsi="Helvetica Neue"/>
          <w:b/>
          <w:i w:val="0"/>
          <w:color w:val="0F1117"/>
          <w:sz w:val="44"/>
          <w:rFonts w:ascii="Helvetica Neue" w:hAnsi="Helvetica Neue"/>
        </w:rPr>
        <w:t>Limitations still standing</w:t>
      </w:r>
    </w:p>
    <w:p>
      <w:pPr>
        <w:spacing w:after="160"/>
      </w:pPr>
      <w:r>
        <w:rPr>
          <w:rFonts w:ascii="Helvetica Neue" w:hAnsi="Helvetica Neue"/>
          <w:b w:val="0"/>
          <w:i w:val="0"/>
          <w:color w:val="0F1117"/>
          <w:sz w:val="22"/>
          <w:rFonts w:ascii="Helvetica Neue" w:hAnsi="Helvetica Neue"/>
        </w:rPr>
        <w:t>These are the gaps a real CFO would still flag. Calling them out honestly is part of the build; pretending the tool is more than it is loses trust.</w:t>
      </w:r>
    </w:p>
    <w:p>
      <w:pPr>
        <w:pStyle w:val="ListBullet"/>
      </w:pPr>
      <w:r>
        <w:rPr>
          <w:rFonts w:ascii="Helvetica Neue" w:hAnsi="Helvetica Neue"/>
          <w:b/>
          <w:i w:val="0"/>
          <w:color w:val="0F1117"/>
          <w:sz w:val="22"/>
          <w:rFonts w:ascii="Helvetica Neue" w:hAnsi="Helvetica Neue"/>
        </w:rPr>
        <w:t>Currency conversion / FX layer.</w:t>
      </w:r>
      <w:r>
        <w:rPr>
          <w:rFonts w:ascii="Helvetica Neue" w:hAnsi="Helvetica Neue"/>
          <w:b w:val="0"/>
          <w:i w:val="0"/>
          <w:color w:val="0F1117"/>
          <w:sz w:val="22"/>
          <w:rFonts w:ascii="Helvetica Neue" w:hAnsi="Helvetica Neue"/>
        </w:rPr>
        <w:t xml:space="preserve">  The tool reads whatever currency is in metadata and formats accordingly; cross-currency consolidation is post-30 (Day 19 territory).</w:t>
      </w:r>
    </w:p>
    <w:p>
      <w:pPr>
        <w:pStyle w:val="ListBullet"/>
      </w:pPr>
      <w:r>
        <w:rPr>
          <w:rFonts w:ascii="Helvetica Neue" w:hAnsi="Helvetica Neue"/>
          <w:b/>
          <w:i w:val="0"/>
          <w:color w:val="0F1117"/>
          <w:sz w:val="22"/>
          <w:rFonts w:ascii="Helvetica Neue" w:hAnsi="Helvetica Neue"/>
        </w:rPr>
        <w:t>Real distribution fitting from historical data.</w:t>
      </w:r>
      <w:r>
        <w:rPr>
          <w:rFonts w:ascii="Helvetica Neue" w:hAnsi="Helvetica Neue"/>
          <w:b w:val="0"/>
          <w:i w:val="0"/>
          <w:color w:val="0F1117"/>
          <w:sz w:val="22"/>
          <w:rFonts w:ascii="Helvetica Neue" w:hAnsi="Helvetica Neue"/>
        </w:rPr>
        <w:t xml:space="preserve">  Monte Carlo here uses triangular shocks centred on the inputs; a richer build would fit Beta, log-normal, or empirical distributions per variable from the user's own history.</w:t>
      </w:r>
    </w:p>
    <w:p>
      <w:pPr>
        <w:pStyle w:val="ListBullet"/>
      </w:pPr>
      <w:r>
        <w:rPr>
          <w:rFonts w:ascii="Helvetica Neue" w:hAnsi="Helvetica Neue"/>
          <w:b/>
          <w:i w:val="0"/>
          <w:color w:val="0F1117"/>
          <w:sz w:val="22"/>
          <w:rFonts w:ascii="Helvetica Neue" w:hAnsi="Helvetica Neue"/>
        </w:rPr>
        <w:t>Bank-feed integration.</w:t>
      </w:r>
      <w:r>
        <w:rPr>
          <w:rFonts w:ascii="Helvetica Neue" w:hAnsi="Helvetica Neue"/>
          <w:b w:val="0"/>
          <w:i w:val="0"/>
          <w:color w:val="0F1117"/>
          <w:sz w:val="22"/>
          <w:rFonts w:ascii="Helvetica Neue" w:hAnsi="Helvetica Neue"/>
        </w:rPr>
        <w:t xml:space="preserve">  The MVP is upload-only. Pulling unit economics from Xero / QuickBooks / Stripe via OAuth is post-30 territory.</w:t>
      </w:r>
    </w:p>
    <w:p>
      <w:pPr>
        <w:pStyle w:val="ListBullet"/>
      </w:pPr>
      <w:r>
        <w:rPr>
          <w:rFonts w:ascii="Helvetica Neue" w:hAnsi="Helvetica Neue"/>
          <w:b/>
          <w:i w:val="0"/>
          <w:color w:val="0F1117"/>
          <w:sz w:val="22"/>
          <w:rFonts w:ascii="Helvetica Neue" w:hAnsi="Helvetica Neue"/>
        </w:rPr>
        <w:t>Multi-entity consolidation.</w:t>
      </w:r>
      <w:r>
        <w:rPr>
          <w:rFonts w:ascii="Helvetica Neue" w:hAnsi="Helvetica Neue"/>
          <w:b w:val="0"/>
          <w:i w:val="0"/>
          <w:color w:val="0F1117"/>
          <w:sz w:val="22"/>
          <w:rFonts w:ascii="Helvetica Neue" w:hAnsi="Helvetica Neue"/>
        </w:rPr>
        <w:t xml:space="preserve">  One company per workbook. Real treasuries need consolidation, intercompany, and per-bank-account modelling.</w:t>
      </w:r>
    </w:p>
    <w:p>
      <w:pPr>
        <w:pStyle w:val="ListBullet"/>
      </w:pPr>
      <w:r>
        <w:rPr>
          <w:rFonts w:ascii="Helvetica Neue" w:hAnsi="Helvetica Neue"/>
          <w:b/>
          <w:i w:val="0"/>
          <w:color w:val="0F1117"/>
          <w:sz w:val="22"/>
          <w:rFonts w:ascii="Helvetica Neue" w:hAnsi="Helvetica Neue"/>
        </w:rPr>
        <w:t>Counterparty payment terms.</w:t>
      </w:r>
      <w:r>
        <w:rPr>
          <w:rFonts w:ascii="Helvetica Neue" w:hAnsi="Helvetica Neue"/>
          <w:b w:val="0"/>
          <w:i w:val="0"/>
          <w:color w:val="0F1117"/>
          <w:sz w:val="22"/>
          <w:rFonts w:ascii="Helvetica Neue" w:hAnsi="Helvetica Neue"/>
        </w:rPr>
        <w:t xml:space="preserve">  No debtor-by-debtor receipts forecast. The MVP treats receipts as a flat line per category. Day 10 (AP ageing) is the natural feed for this.</w:t>
      </w:r>
    </w:p>
    <w:p>
      <w:pPr>
        <w:pStyle w:val="ListBullet"/>
      </w:pPr>
      <w:r>
        <w:rPr>
          <w:rFonts w:ascii="Helvetica Neue" w:hAnsi="Helvetica Neue"/>
          <w:b/>
          <w:i w:val="0"/>
          <w:color w:val="0F1117"/>
          <w:sz w:val="22"/>
          <w:rFonts w:ascii="Helvetica Neue" w:hAnsi="Helvetica Neue"/>
        </w:rPr>
        <w:t>UK tax auto-generation.</w:t>
      </w:r>
      <w:r>
        <w:rPr>
          <w:rFonts w:ascii="Helvetica Neue" w:hAnsi="Helvetica Neue"/>
          <w:b w:val="0"/>
          <w:i w:val="0"/>
          <w:color w:val="0F1117"/>
          <w:sz w:val="22"/>
          <w:rFonts w:ascii="Helvetica Neue" w:hAnsi="Helvetica Neue"/>
        </w:rPr>
        <w:t xml:space="preserve">  VAT quarterly, PAYE monthly, corp tax annual. The MVP requires explicit tax rows; auto-generation needs a P&amp;L-feed contract.</w:t>
      </w:r>
    </w:p>
    <w:p>
      <w:pPr>
        <w:spacing w:before="400" w:after="120"/>
      </w:pPr>
      <w:r>
        <w:rPr>
          <w:rFonts w:ascii="Helvetica Neue" w:hAnsi="Helvetica Neue"/>
          <w:b/>
          <w:i w:val="0"/>
          <w:color w:val="0F1117"/>
          <w:sz w:val="44"/>
          <w:rFonts w:ascii="Helvetica Neue" w:hAnsi="Helvetica Neue"/>
        </w:rPr>
        <w:t>Post-30 expansion</w:t>
      </w:r>
    </w:p>
    <w:p>
      <w:pPr>
        <w:pStyle w:val="ListBullet"/>
      </w:pPr>
      <w:r>
        <w:rPr>
          <w:rFonts w:ascii="Helvetica Neue" w:hAnsi="Helvetica Neue"/>
          <w:b w:val="0"/>
          <w:i w:val="0"/>
          <w:color w:val="0F1117"/>
          <w:sz w:val="22"/>
          <w:rFonts w:ascii="Helvetica Neue" w:hAnsi="Helvetica Neue"/>
        </w:rPr>
        <w:t>Bank-feed integration (Xero / QuickBooks / Stripe).</w:t>
      </w:r>
    </w:p>
    <w:p>
      <w:pPr>
        <w:pStyle w:val="ListBullet"/>
      </w:pPr>
      <w:r>
        <w:rPr>
          <w:rFonts w:ascii="Helvetica Neue" w:hAnsi="Helvetica Neue"/>
          <w:b w:val="0"/>
          <w:i w:val="0"/>
          <w:color w:val="0F1117"/>
          <w:sz w:val="22"/>
          <w:rFonts w:ascii="Helvetica Neue" w:hAnsi="Helvetica Neue"/>
        </w:rPr>
        <w:t>Currency conversion + multi-entity consolidation.</w:t>
      </w:r>
    </w:p>
    <w:p>
      <w:pPr>
        <w:pStyle w:val="ListBullet"/>
      </w:pPr>
      <w:r>
        <w:rPr>
          <w:rFonts w:ascii="Helvetica Neue" w:hAnsi="Helvetica Neue"/>
          <w:b w:val="0"/>
          <w:i w:val="0"/>
          <w:color w:val="0F1117"/>
          <w:sz w:val="22"/>
          <w:rFonts w:ascii="Helvetica Neue" w:hAnsi="Helvetica Neue"/>
        </w:rPr>
        <w:t>Empirical distribution fitting from past months instead of triangular shocks.</w:t>
      </w:r>
    </w:p>
    <w:p>
      <w:pPr>
        <w:pStyle w:val="ListBullet"/>
      </w:pPr>
      <w:r>
        <w:rPr>
          <w:rFonts w:ascii="Helvetica Neue" w:hAnsi="Helvetica Neue"/>
          <w:b w:val="0"/>
          <w:i w:val="0"/>
          <w:color w:val="0F1117"/>
          <w:sz w:val="22"/>
          <w:rFonts w:ascii="Helvetica Neue" w:hAnsi="Helvetica Neue"/>
        </w:rPr>
        <w:t>Counterparty payment-term overlay (debtor ageing-aware receipts) - feeds from Day 10.</w:t>
      </w:r>
    </w:p>
    <w:p>
      <w:pPr>
        <w:pStyle w:val="ListBullet"/>
      </w:pPr>
      <w:r>
        <w:rPr>
          <w:rFonts w:ascii="Helvetica Neue" w:hAnsi="Helvetica Neue"/>
          <w:b w:val="0"/>
          <w:i w:val="0"/>
          <w:color w:val="0F1117"/>
          <w:sz w:val="22"/>
          <w:rFonts w:ascii="Helvetica Neue" w:hAnsi="Helvetica Neue"/>
        </w:rPr>
        <w:t>UK tax auto-generation from a P&amp;L (VAT / PAYE / corp tax).</w:t>
      </w:r>
    </w:p>
    <w:p>
      <w:pPr>
        <w:spacing w:after="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