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double" w:sz="8" w:space="1" w:color="1A1815"/>
        </w:pBdr>
        <w:spacing w:after="160"/>
      </w:pPr>
    </w:p>
    <w:p>
      <w:pPr>
        <w:spacing w:after="160"/>
        <w:jc w:val="center"/>
      </w:pPr>
      <w:r>
        <w:rPr>
          <w:rFonts w:ascii="Didot" w:hAnsi="Didot" w:cs="Didot" w:eastAsia="Didot"/>
          <w:b/>
          <w:i/>
          <w:color w:val="1A1815"/>
          <w:sz w:val="88"/>
        </w:rPr>
        <w:t>The Liquidity Ledger</w:t>
      </w:r>
    </w:p>
    <w:p>
      <w:pPr>
        <w:pBdr>
          <w:bottom w:val="double" w:sz="8" w:space="1" w:color="1A1815"/>
        </w:pBdr>
        <w:spacing w:after="160"/>
      </w:pPr>
    </w:p>
    <w:p>
      <w:pPr>
        <w:spacing w:after="40"/>
      </w:pPr>
      <w:r>
        <w:rPr>
          <w:rFonts w:ascii="Consolas" w:hAnsi="Consolas" w:cs="Consolas" w:eastAsia="Consolas"/>
          <w:b/>
          <w:i w:val="0"/>
          <w:color w:val="4F4A42"/>
          <w:sz w:val="20"/>
        </w:rPr>
        <w:t xml:space="preserve">Stack:  </w:t>
      </w:r>
      <w:r>
        <w:rPr>
          <w:rFonts w:ascii="Consolas" w:hAnsi="Consolas" w:cs="Consolas" w:eastAsia="Consolas"/>
          <w:b w:val="0"/>
          <w:i w:val="0"/>
          <w:color w:val="1A1815"/>
          <w:sz w:val="20"/>
        </w:rPr>
        <w:t>Flask 3, Python 3.13, openpyxl, matplotlib, openai SDK</w:t>
      </w:r>
    </w:p>
    <w:p>
      <w:pPr>
        <w:spacing w:after="40"/>
      </w:pPr>
      <w:r>
        <w:rPr>
          <w:rFonts w:ascii="Consolas" w:hAnsi="Consolas" w:cs="Consolas" w:eastAsia="Consolas"/>
          <w:b/>
          <w:i w:val="0"/>
          <w:color w:val="4F4A42"/>
          <w:sz w:val="20"/>
        </w:rPr>
        <w:t xml:space="preserve">Model:  </w:t>
      </w:r>
      <w:r>
        <w:rPr>
          <w:rFonts w:ascii="Consolas" w:hAnsi="Consolas" w:cs="Consolas" w:eastAsia="Consolas"/>
          <w:b w:val="0"/>
          <w:i w:val="0"/>
          <w:color w:val="1A1815"/>
          <w:sz w:val="20"/>
        </w:rPr>
        <w:t>DeepSeek V4 (deepseek-chat default)</w:t>
      </w:r>
    </w:p>
    <w:p>
      <w:pPr>
        <w:spacing w:after="40"/>
      </w:pPr>
      <w:r>
        <w:rPr>
          <w:rFonts w:ascii="Consolas" w:hAnsi="Consolas" w:cs="Consolas" w:eastAsia="Consolas"/>
          <w:b/>
          <w:i w:val="0"/>
          <w:color w:val="4F4A42"/>
          <w:sz w:val="20"/>
        </w:rPr>
        <w:t xml:space="preserve">Cost:  </w:t>
      </w:r>
      <w:r>
        <w:rPr>
          <w:rFonts w:ascii="Consolas" w:hAnsi="Consolas" w:cs="Consolas" w:eastAsia="Consolas"/>
          <w:b w:val="0"/>
          <w:i w:val="0"/>
          <w:color w:val="1A1815"/>
          <w:sz w:val="20"/>
        </w:rPr>
        <w:t>around $0.0004 per analysis. Days 1 to 3 sat at around $0.002 to $0.005 on Claude Haiku 4.5</w:t>
      </w:r>
    </w:p>
    <w:p>
      <w:pPr>
        <w:spacing w:after="40"/>
      </w:pPr>
      <w:r>
        <w:rPr>
          <w:rFonts w:ascii="Consolas" w:hAnsi="Consolas" w:cs="Consolas" w:eastAsia="Consolas"/>
          <w:b/>
          <w:i w:val="0"/>
          <w:color w:val="4F4A42"/>
          <w:sz w:val="20"/>
        </w:rPr>
        <w:t xml:space="preserve">Port:  </w:t>
      </w:r>
      <w:r>
        <w:rPr>
          <w:rFonts w:ascii="Consolas" w:hAnsi="Consolas" w:cs="Consolas" w:eastAsia="Consolas"/>
          <w:b w:val="0"/>
          <w:i w:val="0"/>
          <w:color w:val="1A1815"/>
          <w:sz w:val="20"/>
        </w:rPr>
        <w:t>127.0.0.1:1004 (loopback only)</w:t>
      </w:r>
    </w:p>
    <w:p>
      <w:pPr>
        <w:spacing w:after="40"/>
      </w:pPr>
      <w:r>
        <w:rPr>
          <w:rFonts w:ascii="Consolas" w:hAnsi="Consolas" w:cs="Consolas" w:eastAsia="Consolas"/>
          <w:b/>
          <w:i w:val="0"/>
          <w:color w:val="4F4A42"/>
          <w:sz w:val="20"/>
        </w:rPr>
        <w:t xml:space="preserve">Tests:  </w:t>
      </w:r>
      <w:r>
        <w:rPr>
          <w:rFonts w:ascii="Consolas" w:hAnsi="Consolas" w:cs="Consolas" w:eastAsia="Consolas"/>
          <w:b w:val="0"/>
          <w:i w:val="0"/>
          <w:color w:val="1A1815"/>
          <w:sz w:val="20"/>
        </w:rPr>
        <w:t>42 across schema, maths, scenario, chart, writers, no-dash</w:t>
      </w:r>
    </w:p>
    <w:p>
      <w:pPr>
        <w:pBdr>
          <w:bottom w:val="single" w:sz="6" w:space="1" w:color="1A1815"/>
        </w:pBdr>
        <w:spacing w:after="160"/>
      </w:pPr>
    </w:p>
    <w:p>
      <w:r>
        <w:br w:type="page"/>
      </w:r>
    </w:p>
    <w:p>
      <w:pPr>
        <w:pBdr>
          <w:bottom w:val="single" w:sz="6" w:space="1" w:color="1A1815"/>
        </w:pBdr>
        <w:spacing w:after="160"/>
      </w:pPr>
    </w:p>
    <w:p>
      <w:r>
        <w:br w:type="page"/>
      </w:r>
    </w:p>
    <w:p>
      <w:r>
        <w:br w:type="page"/>
      </w:r>
    </w:p>
    <w:p>
      <w:pPr>
        <w:keepNext/>
        <w:spacing w:before="400" w:after="160"/>
      </w:pPr>
      <w:r>
        <w:rPr>
          <w:rFonts w:ascii="Didot" w:hAnsi="Didot" w:cs="Didot" w:eastAsia="Didot"/>
          <w:b/>
          <w:i/>
          <w:color w:val="8B2635"/>
          <w:sz w:val="44"/>
        </w:rPr>
        <w:t>Walk-through (all seven frames)</w:t>
      </w:r>
    </w:p>
    <w:p>
      <w:pPr>
        <w:spacing w:after="160" w:line="324" w:lineRule="auto"/>
      </w:pPr>
      <w:r>
        <w:rPr>
          <w:rFonts w:ascii="Iowan Old Style" w:hAnsi="Iowan Old Style" w:cs="Iowan Old Style" w:eastAsia="Iowan Old Style"/>
          <w:b w:val="0"/>
          <w:i/>
          <w:color w:val="4F4A42"/>
          <w:sz w:val="22"/>
        </w:rPr>
        <w:t>Each frame is captioned and explained. Frames marked LinkedIn are the recommended five attachments; the others are supporting evidence for the docx readers.</w:t>
      </w:r>
    </w:p>
    <w:p>
      <w:pPr>
        <w:pBdr>
          <w:bottom w:val="single" w:sz="6" w:space="1" w:color="1A1815"/>
        </w:pBdr>
        <w:spacing w:after="160"/>
      </w:pPr>
    </w:p>
    <w:p>
      <w:pPr>
        <w:keepNext/>
        <w:spacing w:before="240" w:after="160"/>
      </w:pPr>
      <w:r>
        <w:rPr>
          <w:rFonts w:ascii="Didot" w:hAnsi="Didot" w:cs="Didot" w:eastAsia="Didot"/>
          <w:b/>
          <w:i/>
          <w:color w:val="1A1815"/>
          <w:sz w:val="32"/>
        </w:rPr>
        <w:t>01. Empty home  .  LinkedIn</w:t>
      </w:r>
    </w:p>
    <w:p>
      <w:pPr>
        <w:spacing w:before="160" w:after="40"/>
        <w:jc w:val="center"/>
      </w:pPr>
      <w:r>
        <w:drawing>
          <wp:inline xmlns:a="http://schemas.openxmlformats.org/drawingml/2006/main" xmlns:pic="http://schemas.openxmlformats.org/drawingml/2006/picture">
            <wp:extent cx="5852160" cy="7772400"/>
            <wp:docPr id="1" name="Picture 1"/>
            <wp:cNvGraphicFramePr>
              <a:graphicFrameLocks noChangeAspect="1"/>
            </wp:cNvGraphicFramePr>
            <a:graphic>
              <a:graphicData uri="http://schemas.openxmlformats.org/drawingml/2006/picture">
                <pic:pic>
                  <pic:nvPicPr>
                    <pic:cNvPr id="0" name="01_empty_home.png"/>
                    <pic:cNvPicPr/>
                  </pic:nvPicPr>
                  <pic:blipFill>
                    <a:blip r:embed="rId9"/>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Cold start. Cream paper masthead, italic Didot title, four-card 'Submit work' desk.</w:t>
      </w:r>
    </w:p>
    <w:p>
      <w:pPr>
        <w:spacing w:after="160" w:line="324" w:lineRule="auto"/>
      </w:pPr>
      <w:r>
        <w:rPr>
          <w:rFonts w:ascii="Iowan Old Style" w:hAnsi="Iowan Old Style" w:cs="Iowan Old Style" w:eastAsia="Iowan Old Style"/>
          <w:b w:val="0"/>
          <w:i w:val="0"/>
          <w:color w:val="1A1815"/>
          <w:sz w:val="22"/>
        </w:rPr>
        <w:t>First load. Hero KPI panel empty because no run has happened yet. Below the lede, the desk: 01 Authentication, 02 Source, 03 Model, 04 Submit. Different aesthetic to Day 3 on purpose.</w:t>
      </w:r>
    </w:p>
    <w:p>
      <w:pPr>
        <w:keepNext/>
        <w:spacing w:before="240" w:after="160"/>
      </w:pPr>
      <w:r>
        <w:rPr>
          <w:rFonts w:ascii="Didot" w:hAnsi="Didot" w:cs="Didot" w:eastAsia="Didot"/>
          <w:b/>
          <w:i/>
          <w:color w:val="1A1815"/>
          <w:sz w:val="32"/>
        </w:rPr>
        <w:t>02. Bundled samples</w:t>
      </w:r>
    </w:p>
    <w:p>
      <w:pPr>
        <w:spacing w:before="160" w:after="40"/>
        <w:jc w:val="center"/>
      </w:pPr>
      <w:r>
        <w:drawing>
          <wp:inline xmlns:a="http://schemas.openxmlformats.org/drawingml/2006/main" xmlns:pic="http://schemas.openxmlformats.org/drawingml/2006/picture">
            <wp:extent cx="5852160" cy="7772400"/>
            <wp:docPr id="2" name="Picture 2"/>
            <wp:cNvGraphicFramePr>
              <a:graphicFrameLocks noChangeAspect="1"/>
            </wp:cNvGraphicFramePr>
            <a:graphic>
              <a:graphicData uri="http://schemas.openxmlformats.org/drawingml/2006/picture">
                <pic:pic>
                  <pic:nvPicPr>
                    <pic:cNvPr id="0" name="02_sample_picker.png"/>
                    <pic:cNvPicPr/>
                  </pic:nvPicPr>
                  <pic:blipFill>
                    <a:blip r:embed="rId10"/>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Three deterministic workbooks shipped in the repo. Numbered article list under the desk.</w:t>
      </w:r>
    </w:p>
    <w:p>
      <w:pPr>
        <w:spacing w:after="160" w:line="324" w:lineRule="auto"/>
      </w:pPr>
      <w:r>
        <w:rPr>
          <w:rFonts w:ascii="Iowan Old Style" w:hAnsi="Iowan Old Style" w:cs="Iowan Old Style" w:eastAsia="Iowan Old Style"/>
          <w:b w:val="0"/>
          <w:i w:val="0"/>
          <w:color w:val="1A1815"/>
          <w:sz w:val="22"/>
        </w:rPr>
        <w:t>Click 'Pick a sample' in the Source field. The bundled samples card unfolds with three workbooks: Acme Consulting, TechRetail Quarterly, PreFund Holdings. Cost log strip at the bottom shows the running spend across runs.</w:t>
      </w:r>
    </w:p>
    <w:p>
      <w:pPr>
        <w:keepNext/>
        <w:spacing w:before="240" w:after="160"/>
      </w:pPr>
      <w:r>
        <w:rPr>
          <w:rFonts w:ascii="Didot" w:hAnsi="Didot" w:cs="Didot" w:eastAsia="Didot"/>
          <w:b/>
          <w:i/>
          <w:color w:val="1A1815"/>
          <w:sz w:val="32"/>
        </w:rPr>
        <w:t>03. Base run, AI commentary  .  LinkedIn</w:t>
      </w:r>
    </w:p>
    <w:p>
      <w:pPr>
        <w:spacing w:before="160" w:after="40"/>
        <w:jc w:val="center"/>
      </w:pPr>
      <w:r>
        <w:drawing>
          <wp:inline xmlns:a="http://schemas.openxmlformats.org/drawingml/2006/main" xmlns:pic="http://schemas.openxmlformats.org/drawingml/2006/picture">
            <wp:extent cx="5852160" cy="7772400"/>
            <wp:docPr id="3" name="Picture 3"/>
            <wp:cNvGraphicFramePr>
              <a:graphicFrameLocks noChangeAspect="1"/>
            </wp:cNvGraphicFramePr>
            <a:graphic>
              <a:graphicData uri="http://schemas.openxmlformats.org/drawingml/2006/picture">
                <pic:pic>
                  <pic:nvPicPr>
                    <pic:cNvPr id="0" name="03_base_commentary.png"/>
                    <pic:cNvPicPr/>
                  </pic:nvPicPr>
                  <pic:blipFill>
                    <a:blip r:embed="rId11"/>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PreFund Holdings Ltd. Controller commentary, closing balance chart, per-week table.</w:t>
      </w:r>
    </w:p>
    <w:p>
      <w:pPr>
        <w:spacing w:after="160" w:line="324" w:lineRule="auto"/>
      </w:pPr>
      <w:r>
        <w:rPr>
          <w:rFonts w:ascii="Iowan Old Style" w:hAnsi="Iowan Old Style" w:cs="Iowan Old Style" w:eastAsia="Iowan Old Style"/>
          <w:b w:val="0"/>
          <w:i w:val="0"/>
          <w:color w:val="1A1815"/>
          <w:sz w:val="22"/>
        </w:rPr>
        <w:t>Click the distress sample. Two and a half seconds later 'The Analysis' banner sits at the top, the AI commentary card carries the controller-voice headline + summary + drivers + actions, and the chart and table render below. Cost: $0.0004 for the analysis (491 in / 271 out, deepseek-chat). The runway lands at W11.</w:t>
      </w:r>
    </w:p>
    <w:p>
      <w:pPr>
        <w:keepNext/>
        <w:spacing w:before="240" w:after="160"/>
      </w:pPr>
      <w:r>
        <w:rPr>
          <w:rFonts w:ascii="Didot" w:hAnsi="Didot" w:cs="Didot" w:eastAsia="Didot"/>
          <w:b/>
          <w:i/>
          <w:color w:val="1A1815"/>
          <w:sz w:val="32"/>
        </w:rPr>
        <w:t>04. Closing balance chart and per-week ledger</w:t>
      </w:r>
    </w:p>
    <w:p>
      <w:pPr>
        <w:spacing w:before="160" w:after="40"/>
        <w:jc w:val="center"/>
      </w:pPr>
      <w:r>
        <w:drawing>
          <wp:inline xmlns:a="http://schemas.openxmlformats.org/drawingml/2006/main" xmlns:pic="http://schemas.openxmlformats.org/drawingml/2006/picture">
            <wp:extent cx="5852160" cy="7772400"/>
            <wp:docPr id="4" name="Picture 4"/>
            <wp:cNvGraphicFramePr>
              <a:graphicFrameLocks noChangeAspect="1"/>
            </wp:cNvGraphicFramePr>
            <a:graphic>
              <a:graphicData uri="http://schemas.openxmlformats.org/drawingml/2006/picture">
                <pic:pic>
                  <pic:nvPicPr>
                    <pic:cNvPr id="0" name="04_chart_and_tables.png"/>
                    <pic:cNvPicPr/>
                  </pic:nvPicPr>
                  <pic:blipFill>
                    <a:blip r:embed="rId12"/>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Inline SVG balance line. Ledger-style table with double-rule headers and dotted rows.</w:t>
      </w:r>
    </w:p>
    <w:p>
      <w:pPr>
        <w:spacing w:after="160" w:line="324" w:lineRule="auto"/>
      </w:pPr>
      <w:r>
        <w:rPr>
          <w:rFonts w:ascii="Iowan Old Style" w:hAnsi="Iowan Old Style" w:cs="Iowan Old Style" w:eastAsia="Iowan Old Style"/>
          <w:b w:val="0"/>
          <w:i w:val="0"/>
          <w:color w:val="1A1815"/>
          <w:sz w:val="22"/>
        </w:rPr>
        <w:t>Inline SVG with theme-aware colours. Faint dashed reference lines mark zero and the buffer breach. The table sits in Courier figures, ledger-style, with RAG fills running forest green, mustard, burgundy.</w:t>
      </w:r>
    </w:p>
    <w:p>
      <w:pPr>
        <w:keepNext/>
        <w:spacing w:before="240" w:after="160"/>
      </w:pPr>
      <w:r>
        <w:rPr>
          <w:rFonts w:ascii="Didot" w:hAnsi="Didot" w:cs="Didot" w:eastAsia="Didot"/>
          <w:b/>
          <w:i/>
          <w:color w:val="1A1815"/>
          <w:sz w:val="32"/>
        </w:rPr>
        <w:t>05. Forecast detail (W1..W13 wide grid)  .  LinkedIn</w:t>
      </w:r>
    </w:p>
    <w:p>
      <w:pPr>
        <w:spacing w:before="160" w:after="40"/>
        <w:jc w:val="center"/>
      </w:pPr>
      <w:r>
        <w:drawing>
          <wp:inline xmlns:a="http://schemas.openxmlformats.org/drawingml/2006/main" xmlns:pic="http://schemas.openxmlformats.org/drawingml/2006/picture">
            <wp:extent cx="5852160" cy="7772400"/>
            <wp:docPr id="5" name="Picture 5"/>
            <wp:cNvGraphicFramePr>
              <a:graphicFrameLocks noChangeAspect="1"/>
            </wp:cNvGraphicFramePr>
            <a:graphic>
              <a:graphicData uri="http://schemas.openxmlformats.org/drawingml/2006/picture">
                <pic:pic>
                  <pic:nvPicPr>
                    <pic:cNvPr id="0" name="05_forecast_detail.png"/>
                    <pic:cNvPicPr/>
                  </pic:nvPicPr>
                  <pic:blipFill>
                    <a:blip r:embed="rId13"/>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One row per cashflow line, one column per week, totals on the right.</w:t>
      </w:r>
    </w:p>
    <w:p>
      <w:pPr>
        <w:spacing w:after="160" w:line="324" w:lineRule="auto"/>
      </w:pPr>
      <w:r>
        <w:rPr>
          <w:rFonts w:ascii="Iowan Old Style" w:hAnsi="Iowan Old Style" w:cs="Iowan Old Style" w:eastAsia="Iowan Old Style"/>
          <w:b w:val="0"/>
          <w:i w:val="0"/>
          <w:color w:val="1A1815"/>
          <w:sz w:val="22"/>
        </w:rPr>
        <w:t>This is what a treasurer would normally edit in Excel. The app renders it back so you can confirm what was parsed and spot any line you forgot. Source column on the right labels each row as forecast, actual, scenario or hybrid.</w:t>
      </w:r>
    </w:p>
    <w:p>
      <w:pPr>
        <w:keepNext/>
        <w:spacing w:before="240" w:after="160"/>
      </w:pPr>
      <w:r>
        <w:rPr>
          <w:rFonts w:ascii="Didot" w:hAnsi="Didot" w:cs="Didot" w:eastAsia="Didot"/>
          <w:b/>
          <w:i/>
          <w:color w:val="1A1815"/>
          <w:sz w:val="32"/>
        </w:rPr>
        <w:t>06. Scenario engine  .  LinkedIn</w:t>
      </w:r>
    </w:p>
    <w:p>
      <w:pPr>
        <w:spacing w:before="160" w:after="40"/>
        <w:jc w:val="center"/>
      </w:pPr>
      <w:r>
        <w:drawing>
          <wp:inline xmlns:a="http://schemas.openxmlformats.org/drawingml/2006/main" xmlns:pic="http://schemas.openxmlformats.org/drawingml/2006/picture">
            <wp:extent cx="5852160" cy="7772400"/>
            <wp:docPr id="6" name="Picture 6"/>
            <wp:cNvGraphicFramePr>
              <a:graphicFrameLocks noChangeAspect="1"/>
            </wp:cNvGraphicFramePr>
            <a:graphic>
              <a:graphicData uri="http://schemas.openxmlformats.org/drawingml/2006/picture">
                <pic:pic>
                  <pic:nvPicPr>
                    <pic:cNvPr id="0" name="06_scenario_commentary.png"/>
                    <pic:cNvPicPr/>
                  </pic:nvPicPr>
                  <pic:blipFill>
                    <a:blip r:embed="rId14"/>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'What if revenue drops 20% for 3 weeks?' parsed into a typed shock and applied.</w:t>
      </w:r>
    </w:p>
    <w:p>
      <w:pPr>
        <w:spacing w:after="160" w:line="324" w:lineRule="auto"/>
      </w:pPr>
      <w:r>
        <w:rPr>
          <w:rFonts w:ascii="Iowan Old Style" w:hAnsi="Iowan Old Style" w:cs="Iowan Old Style" w:eastAsia="Iowan Old Style"/>
          <w:b w:val="0"/>
          <w:i w:val="0"/>
          <w:color w:val="1A1815"/>
          <w:sz w:val="22"/>
        </w:rPr>
        <w:t>DeepSeek parses the free-text prompt into a typed Shock (revenue_pct, magnitude -0.20, weeks 1 to 3) and the deterministic engine recomputes. Two series on the chart now: dashed grey for base, solid ink for scenario. Per-week table flips colour at W10 and W11 as the bands shift. The AI commentary refreshes with a scenario-aware byline ('The controller on this scenario').</w:t>
      </w:r>
    </w:p>
    <w:p>
      <w:pPr>
        <w:keepNext/>
        <w:spacing w:before="240" w:after="160"/>
      </w:pPr>
      <w:r>
        <w:rPr>
          <w:rFonts w:ascii="Didot" w:hAnsi="Didot" w:cs="Didot" w:eastAsia="Didot"/>
          <w:b/>
          <w:i/>
          <w:color w:val="1A1815"/>
          <w:sz w:val="32"/>
        </w:rPr>
        <w:t>07. Downloads  .  LinkedIn</w:t>
      </w:r>
    </w:p>
    <w:p>
      <w:pPr>
        <w:spacing w:before="160" w:after="40"/>
        <w:jc w:val="center"/>
      </w:pPr>
      <w:r>
        <w:drawing>
          <wp:inline xmlns:a="http://schemas.openxmlformats.org/drawingml/2006/main" xmlns:pic="http://schemas.openxmlformats.org/drawingml/2006/picture">
            <wp:extent cx="5852160" cy="7772400"/>
            <wp:docPr id="7" name="Picture 7"/>
            <wp:cNvGraphicFramePr>
              <a:graphicFrameLocks noChangeAspect="1"/>
            </wp:cNvGraphicFramePr>
            <a:graphic>
              <a:graphicData uri="http://schemas.openxmlformats.org/drawingml/2006/picture">
                <pic:pic>
                  <pic:nvPicPr>
                    <pic:cNvPr id="0" name="07_downloads.png"/>
                    <pic:cNvPicPr/>
                  </pic:nvPicPr>
                  <pic:blipFill>
                    <a:blip r:embed="rId15"/>
                    <a:stretch>
                      <a:fillRect/>
                    </a:stretch>
                  </pic:blipFill>
                  <pic:spPr>
                    <a:xfrm>
                      <a:off x="0" y="0"/>
                      <a:ext cx="5852160" cy="7772400"/>
                    </a:xfrm>
                    <a:prstGeom prst="rect"/>
                  </pic:spPr>
                </pic:pic>
              </a:graphicData>
            </a:graphic>
          </wp:inline>
        </w:drawing>
      </w:r>
    </w:p>
    <w:p>
      <w:pPr>
        <w:spacing w:after="280"/>
        <w:jc w:val="center"/>
      </w:pPr>
      <w:r>
        <w:rPr>
          <w:rFonts w:ascii="Iowan Old Style" w:hAnsi="Iowan Old Style" w:cs="Iowan Old Style" w:eastAsia="Iowan Old Style"/>
          <w:b w:val="0"/>
          <w:i/>
          <w:color w:val="4F4A42"/>
          <w:sz w:val="18"/>
        </w:rPr>
        <w:t>Excel, weekly CSV, lines CSV. Cost log strip at the bottom.</w:t>
      </w:r>
    </w:p>
    <w:p>
      <w:pPr>
        <w:spacing w:after="160" w:line="324" w:lineRule="auto"/>
      </w:pPr>
      <w:r>
        <w:rPr>
          <w:rFonts w:ascii="Iowan Old Style" w:hAnsi="Iowan Old Style" w:cs="Iowan Old Style" w:eastAsia="Iowan Old Style"/>
          <w:b w:val="0"/>
          <w:i w:val="0"/>
          <w:color w:val="1A1815"/>
          <w:sz w:val="22"/>
        </w:rPr>
        <w:t>Three downloads per run. Excel ships Summary, Forecast, Weekly, Scenario (only after a scenario), Commentary (only after a scenario), and Inputs sheets. CSVs are utf-8-sig. The colophon at the bottom restates the privacy promise.</w:t>
      </w:r>
    </w:p>
    <w:p>
      <w:r>
        <w:br w:type="page"/>
      </w:r>
    </w:p>
    <w:p>
      <w:pPr>
        <w:keepNext/>
        <w:spacing w:before="400" w:after="160"/>
      </w:pPr>
      <w:r>
        <w:rPr>
          <w:rFonts w:ascii="Didot" w:hAnsi="Didot" w:cs="Didot" w:eastAsia="Didot"/>
          <w:b/>
          <w:i/>
          <w:color w:val="8B2635"/>
          <w:sz w:val="44"/>
        </w:rPr>
        <w:t>Cost: DeepSeek V4 vs Claude Haiku 4.5</w:t>
      </w:r>
    </w:p>
    <w:p>
      <w:pPr>
        <w:spacing w:after="160" w:line="324" w:lineRule="auto"/>
      </w:pPr>
      <w:r>
        <w:rPr>
          <w:rFonts w:ascii="Iowan Old Style" w:hAnsi="Iowan Old Style" w:cs="Iowan Old Style" w:eastAsia="Iowan Old Style"/>
          <w:b w:val="0"/>
          <w:i w:val="0"/>
          <w:color w:val="1A1815"/>
          <w:sz w:val="22"/>
        </w:rPr>
        <w:t>Day 4 is the first project in the sprint to lean on DeepSeek instead of Claude. The reason is cost. On a JSON-shaped finance workload the switch is roughly 10x to 20x cheaper, with no noticeable quality drop on the structured commentary task. Concrete observation from this build: the distress sample scored a $0.000474 commentary on DeepSeek V4 (491 in / 271 out tokens). The same call on Claude Haiku 4.5 lands around $0.0024, so the switch saves about 80% on every analysis.</w:t>
      </w:r>
    </w:p>
    <w:tbl>
      <w:tblPr>
        <w:tblW w:type="auto" w:w="0"/>
        <w:jc w:val="center"/>
        <w:tblLayout w:type="fixed"/>
        <w:tblLook w:firstColumn="1" w:firstRow="1" w:lastColumn="0" w:lastRow="0" w:noHBand="0" w:noVBand="1" w:val="04A0"/>
      </w:tblPr>
      <w:tblGrid>
        <w:gridCol w:w="3264"/>
        <w:gridCol w:w="3264"/>
        <w:gridCol w:w="3264"/>
      </w:tblGrid>
      <w:tr>
        <w:tc>
          <w:tcPr>
            <w:tcW w:type="dxa" w:w="2880"/>
            <w:tcBorders>
              <w:bottom w:val="single" w:sz="8" w:color="1A1815"/>
            </w:tcBorders>
          </w:tcPr>
          <w:p>
            <w:r/>
            <w:r>
              <w:rPr>
                <w:rFonts w:ascii="Didot" w:hAnsi="Didot" w:cs="Didot" w:eastAsia="Didot"/>
                <w:b/>
                <w:i w:val="0"/>
                <w:color w:val="1A1815"/>
                <w:sz w:val="20"/>
              </w:rPr>
              <w:t>Model</w:t>
            </w:r>
          </w:p>
        </w:tc>
        <w:tc>
          <w:tcPr>
            <w:tcW w:type="dxa" w:w="3168"/>
            <w:tcBorders>
              <w:bottom w:val="single" w:sz="8" w:color="1A1815"/>
            </w:tcBorders>
          </w:tcPr>
          <w:p>
            <w:r/>
            <w:r>
              <w:rPr>
                <w:rFonts w:ascii="Didot" w:hAnsi="Didot" w:cs="Didot" w:eastAsia="Didot"/>
                <w:b/>
                <w:i w:val="0"/>
                <w:color w:val="1A1815"/>
                <w:sz w:val="20"/>
              </w:rPr>
              <w:t>Claude Haiku 4.5</w:t>
            </w:r>
          </w:p>
        </w:tc>
        <w:tc>
          <w:tcPr>
            <w:tcW w:type="dxa" w:w="3744"/>
            <w:tcBorders>
              <w:bottom w:val="single" w:sz="8" w:color="1A1815"/>
            </w:tcBorders>
          </w:tcPr>
          <w:p>
            <w:r/>
            <w:r>
              <w:rPr>
                <w:rFonts w:ascii="Didot" w:hAnsi="Didot" w:cs="Didot" w:eastAsia="Didot"/>
                <w:b/>
                <w:i w:val="0"/>
                <w:color w:val="1A1815"/>
                <w:sz w:val="20"/>
              </w:rPr>
              <w:t>DeepSeek V4 (deepseek-chat)</w:t>
            </w:r>
          </w:p>
        </w:tc>
      </w:tr>
      <w:tr>
        <w:tc>
          <w:tcPr>
            <w:tcW w:type="dxa" w:w="2880"/>
            <w:tcBorders>
              <w:bottom w:val="single" w:sz="4" w:color="1A1815"/>
            </w:tcBorders>
          </w:tcPr>
          <w:p>
            <w:r/>
            <w:r>
              <w:rPr>
                <w:rFonts w:ascii="Iowan Old Style" w:hAnsi="Iowan Old Style" w:cs="Iowan Old Style" w:eastAsia="Iowan Old Style"/>
                <w:b/>
                <w:i w:val="0"/>
                <w:color w:val="1A1815"/>
                <w:sz w:val="20"/>
              </w:rPr>
              <w:t>Input price (per 1M)</w:t>
            </w:r>
          </w:p>
        </w:tc>
        <w:tc>
          <w:tcPr>
            <w:tcW w:type="dxa" w:w="3168"/>
            <w:tcBorders>
              <w:bottom w:val="single" w:sz="4" w:color="1A1815"/>
            </w:tcBorders>
          </w:tcPr>
          <w:p>
            <w:r/>
            <w:r>
              <w:rPr>
                <w:rFonts w:ascii="Consolas" w:hAnsi="Consolas" w:cs="Consolas" w:eastAsia="Consolas"/>
                <w:b w:val="0"/>
                <w:i w:val="0"/>
                <w:color w:val="1A1815"/>
                <w:sz w:val="20"/>
              </w:rPr>
              <w:t>$1.00</w:t>
            </w:r>
          </w:p>
        </w:tc>
        <w:tc>
          <w:tcPr>
            <w:tcW w:type="dxa" w:w="3744"/>
            <w:tcBorders>
              <w:bottom w:val="single" w:sz="4" w:color="1A1815"/>
            </w:tcBorders>
          </w:tcPr>
          <w:p>
            <w:r/>
            <w:r>
              <w:rPr>
                <w:rFonts w:ascii="Consolas" w:hAnsi="Consolas" w:cs="Consolas" w:eastAsia="Consolas"/>
                <w:b w:val="0"/>
                <w:i w:val="0"/>
                <w:color w:val="1A1815"/>
                <w:sz w:val="20"/>
              </w:rPr>
              <w:t>$0.27 miss / $0.07 hit</w:t>
            </w:r>
          </w:p>
        </w:tc>
      </w:tr>
      <w:tr>
        <w:tc>
          <w:tcPr>
            <w:tcW w:type="dxa" w:w="2880"/>
            <w:tcBorders>
              <w:bottom w:val="single" w:sz="4" w:color="1A1815"/>
            </w:tcBorders>
          </w:tcPr>
          <w:p>
            <w:r/>
            <w:r>
              <w:rPr>
                <w:rFonts w:ascii="Iowan Old Style" w:hAnsi="Iowan Old Style" w:cs="Iowan Old Style" w:eastAsia="Iowan Old Style"/>
                <w:b/>
                <w:i w:val="0"/>
                <w:color w:val="1A1815"/>
                <w:sz w:val="20"/>
              </w:rPr>
              <w:t>Output price (per 1M)</w:t>
            </w:r>
          </w:p>
        </w:tc>
        <w:tc>
          <w:tcPr>
            <w:tcW w:type="dxa" w:w="3168"/>
            <w:tcBorders>
              <w:bottom w:val="single" w:sz="4" w:color="1A1815"/>
            </w:tcBorders>
          </w:tcPr>
          <w:p>
            <w:r/>
            <w:r>
              <w:rPr>
                <w:rFonts w:ascii="Consolas" w:hAnsi="Consolas" w:cs="Consolas" w:eastAsia="Consolas"/>
                <w:b w:val="0"/>
                <w:i w:val="0"/>
                <w:color w:val="1A1815"/>
                <w:sz w:val="20"/>
              </w:rPr>
              <w:t>$5.00</w:t>
            </w:r>
          </w:p>
        </w:tc>
        <w:tc>
          <w:tcPr>
            <w:tcW w:type="dxa" w:w="3744"/>
            <w:tcBorders>
              <w:bottom w:val="single" w:sz="4" w:color="1A1815"/>
            </w:tcBorders>
          </w:tcPr>
          <w:p>
            <w:r/>
            <w:r>
              <w:rPr>
                <w:rFonts w:ascii="Consolas" w:hAnsi="Consolas" w:cs="Consolas" w:eastAsia="Consolas"/>
                <w:b w:val="0"/>
                <w:i w:val="0"/>
                <w:color w:val="1A1815"/>
                <w:sz w:val="20"/>
              </w:rPr>
              <w:t>$1.10</w:t>
            </w:r>
          </w:p>
        </w:tc>
      </w:tr>
      <w:tr>
        <w:tc>
          <w:tcPr>
            <w:tcW w:type="dxa" w:w="2880"/>
            <w:tcBorders>
              <w:bottom w:val="single" w:sz="4" w:color="1A1815"/>
            </w:tcBorders>
          </w:tcPr>
          <w:p>
            <w:r/>
            <w:r>
              <w:rPr>
                <w:rFonts w:ascii="Iowan Old Style" w:hAnsi="Iowan Old Style" w:cs="Iowan Old Style" w:eastAsia="Iowan Old Style"/>
                <w:b/>
                <w:i w:val="0"/>
                <w:color w:val="1A1815"/>
                <w:sz w:val="20"/>
              </w:rPr>
              <w:t>Per-call cost (observed)</w:t>
            </w:r>
          </w:p>
        </w:tc>
        <w:tc>
          <w:tcPr>
            <w:tcW w:type="dxa" w:w="3168"/>
            <w:tcBorders>
              <w:bottom w:val="single" w:sz="4" w:color="1A1815"/>
            </w:tcBorders>
          </w:tcPr>
          <w:p>
            <w:r/>
            <w:r>
              <w:rPr>
                <w:rFonts w:ascii="Consolas" w:hAnsi="Consolas" w:cs="Consolas" w:eastAsia="Consolas"/>
                <w:b w:val="0"/>
                <w:i w:val="0"/>
                <w:color w:val="1A1815"/>
                <w:sz w:val="20"/>
              </w:rPr>
              <w:t>around $0.002 to $0.005</w:t>
            </w:r>
          </w:p>
        </w:tc>
        <w:tc>
          <w:tcPr>
            <w:tcW w:type="dxa" w:w="3744"/>
            <w:tcBorders>
              <w:bottom w:val="single" w:sz="4" w:color="1A1815"/>
            </w:tcBorders>
          </w:tcPr>
          <w:p>
            <w:r/>
            <w:r>
              <w:rPr>
                <w:rFonts w:ascii="Consolas" w:hAnsi="Consolas" w:cs="Consolas" w:eastAsia="Consolas"/>
                <w:b w:val="0"/>
                <w:i w:val="0"/>
                <w:color w:val="1A1815"/>
                <w:sz w:val="20"/>
              </w:rPr>
              <w:t>around $0.0001 to $0.0005</w:t>
            </w:r>
          </w:p>
        </w:tc>
      </w:tr>
      <w:tr>
        <w:tc>
          <w:tcPr>
            <w:tcW w:type="dxa" w:w="2880"/>
            <w:tcBorders>
              <w:bottom w:val="single" w:sz="4" w:color="1A1815"/>
            </w:tcBorders>
          </w:tcPr>
          <w:p>
            <w:r/>
            <w:r>
              <w:rPr>
                <w:rFonts w:ascii="Iowan Old Style" w:hAnsi="Iowan Old Style" w:cs="Iowan Old Style" w:eastAsia="Iowan Old Style"/>
                <w:b/>
                <w:i w:val="0"/>
                <w:color w:val="1A1815"/>
                <w:sz w:val="20"/>
              </w:rPr>
              <w:t>Cost per 1,000 analyses</w:t>
            </w:r>
          </w:p>
        </w:tc>
        <w:tc>
          <w:tcPr>
            <w:tcW w:type="dxa" w:w="3168"/>
            <w:tcBorders>
              <w:bottom w:val="single" w:sz="4" w:color="1A1815"/>
            </w:tcBorders>
          </w:tcPr>
          <w:p>
            <w:r/>
            <w:r>
              <w:rPr>
                <w:rFonts w:ascii="Consolas" w:hAnsi="Consolas" w:cs="Consolas" w:eastAsia="Consolas"/>
                <w:b w:val="0"/>
                <w:i w:val="0"/>
                <w:color w:val="1A1815"/>
                <w:sz w:val="20"/>
              </w:rPr>
              <w:t>around $2 to $5</w:t>
            </w:r>
          </w:p>
        </w:tc>
        <w:tc>
          <w:tcPr>
            <w:tcW w:type="dxa" w:w="3744"/>
            <w:tcBorders>
              <w:bottom w:val="single" w:sz="4" w:color="1A1815"/>
            </w:tcBorders>
          </w:tcPr>
          <w:p>
            <w:r/>
            <w:r>
              <w:rPr>
                <w:rFonts w:ascii="Consolas" w:hAnsi="Consolas" w:cs="Consolas" w:eastAsia="Consolas"/>
                <w:b w:val="0"/>
                <w:i w:val="0"/>
                <w:color w:val="1A1815"/>
                <w:sz w:val="20"/>
              </w:rPr>
              <w:t>around $0.10 to $0.50</w:t>
            </w:r>
          </w:p>
        </w:tc>
      </w:tr>
      <w:tr>
        <w:tc>
          <w:tcPr>
            <w:tcW w:type="dxa" w:w="2880"/>
            <w:tcBorders>
              <w:bottom w:val="single" w:sz="4" w:color="1A1815"/>
            </w:tcBorders>
          </w:tcPr>
          <w:p>
            <w:r/>
            <w:r>
              <w:rPr>
                <w:rFonts w:ascii="Iowan Old Style" w:hAnsi="Iowan Old Style" w:cs="Iowan Old Style" w:eastAsia="Iowan Old Style"/>
                <w:b/>
                <w:i w:val="0"/>
                <w:color w:val="1A1815"/>
                <w:sz w:val="20"/>
              </w:rPr>
              <w:t>Cost per 100,000 analyses</w:t>
            </w:r>
          </w:p>
        </w:tc>
        <w:tc>
          <w:tcPr>
            <w:tcW w:type="dxa" w:w="3168"/>
            <w:tcBorders>
              <w:bottom w:val="single" w:sz="4" w:color="1A1815"/>
            </w:tcBorders>
          </w:tcPr>
          <w:p>
            <w:r/>
            <w:r>
              <w:rPr>
                <w:rFonts w:ascii="Consolas" w:hAnsi="Consolas" w:cs="Consolas" w:eastAsia="Consolas"/>
                <w:b w:val="0"/>
                <w:i w:val="0"/>
                <w:color w:val="1A1815"/>
                <w:sz w:val="20"/>
              </w:rPr>
              <w:t>around $200 to $500</w:t>
            </w:r>
          </w:p>
        </w:tc>
        <w:tc>
          <w:tcPr>
            <w:tcW w:type="dxa" w:w="3744"/>
            <w:tcBorders>
              <w:bottom w:val="single" w:sz="4" w:color="1A1815"/>
            </w:tcBorders>
          </w:tcPr>
          <w:p>
            <w:r/>
            <w:r>
              <w:rPr>
                <w:rFonts w:ascii="Consolas" w:hAnsi="Consolas" w:cs="Consolas" w:eastAsia="Consolas"/>
                <w:b w:val="0"/>
                <w:i w:val="0"/>
                <w:color w:val="1A1815"/>
                <w:sz w:val="20"/>
              </w:rPr>
              <w:t>around $10 to $50</w:t>
            </w:r>
          </w:p>
        </w:tc>
      </w:tr>
      <w:tr>
        <w:tc>
          <w:tcPr>
            <w:tcW w:type="dxa" w:w="2880"/>
            <w:tcBorders>
              <w:bottom w:val="single" w:sz="4" w:color="1A1815"/>
            </w:tcBorders>
          </w:tcPr>
          <w:p>
            <w:r/>
            <w:r>
              <w:rPr>
                <w:rFonts w:ascii="Iowan Old Style" w:hAnsi="Iowan Old Style" w:cs="Iowan Old Style" w:eastAsia="Iowan Old Style"/>
                <w:b/>
                <w:i w:val="0"/>
                <w:color w:val="1A1815"/>
                <w:sz w:val="20"/>
              </w:rPr>
              <w:t>Quality on this task</w:t>
            </w:r>
          </w:p>
        </w:tc>
        <w:tc>
          <w:tcPr>
            <w:tcW w:type="dxa" w:w="3168"/>
            <w:tcBorders>
              <w:bottom w:val="single" w:sz="4" w:color="1A1815"/>
            </w:tcBorders>
          </w:tcPr>
          <w:p>
            <w:r/>
            <w:r>
              <w:rPr>
                <w:rFonts w:ascii="Consolas" w:hAnsi="Consolas" w:cs="Consolas" w:eastAsia="Consolas"/>
                <w:b w:val="0"/>
                <w:i w:val="0"/>
                <w:color w:val="1A1815"/>
                <w:sz w:val="20"/>
              </w:rPr>
              <w:t>Excellent</w:t>
            </w:r>
          </w:p>
        </w:tc>
        <w:tc>
          <w:tcPr>
            <w:tcW w:type="dxa" w:w="3744"/>
            <w:tcBorders>
              <w:bottom w:val="single" w:sz="4" w:color="1A1815"/>
            </w:tcBorders>
          </w:tcPr>
          <w:p>
            <w:r/>
            <w:r>
              <w:rPr>
                <w:rFonts w:ascii="Consolas" w:hAnsi="Consolas" w:cs="Consolas" w:eastAsia="Consolas"/>
                <w:b w:val="0"/>
                <w:i w:val="0"/>
                <w:color w:val="1A1815"/>
                <w:sz w:val="20"/>
              </w:rPr>
              <w:t>Materially equivalent for short JSON output</w:t>
            </w:r>
          </w:p>
        </w:tc>
      </w:tr>
      <w:tr>
        <w:tc>
          <w:tcPr>
            <w:tcW w:type="dxa" w:w="2880"/>
            <w:tcBorders>
              <w:bottom w:val="single" w:sz="4" w:color="1A1815"/>
            </w:tcBorders>
          </w:tcPr>
          <w:p>
            <w:r/>
            <w:r>
              <w:rPr>
                <w:rFonts w:ascii="Iowan Old Style" w:hAnsi="Iowan Old Style" w:cs="Iowan Old Style" w:eastAsia="Iowan Old Style"/>
                <w:b/>
                <w:i w:val="0"/>
                <w:color w:val="1A1815"/>
                <w:sz w:val="20"/>
              </w:rPr>
              <w:t>Caching</w:t>
            </w:r>
          </w:p>
        </w:tc>
        <w:tc>
          <w:tcPr>
            <w:tcW w:type="dxa" w:w="3168"/>
            <w:tcBorders>
              <w:bottom w:val="single" w:sz="4" w:color="1A1815"/>
            </w:tcBorders>
          </w:tcPr>
          <w:p>
            <w:r/>
            <w:r>
              <w:rPr>
                <w:rFonts w:ascii="Consolas" w:hAnsi="Consolas" w:cs="Consolas" w:eastAsia="Consolas"/>
                <w:b w:val="0"/>
                <w:i w:val="0"/>
                <w:color w:val="1A1815"/>
                <w:sz w:val="20"/>
              </w:rPr>
              <w:t>Explicit ephemeral hint</w:t>
            </w:r>
          </w:p>
        </w:tc>
        <w:tc>
          <w:tcPr>
            <w:tcW w:type="dxa" w:w="3744"/>
            <w:tcBorders>
              <w:bottom w:val="single" w:sz="4" w:color="1A1815"/>
            </w:tcBorders>
          </w:tcPr>
          <w:p>
            <w:r/>
            <w:r>
              <w:rPr>
                <w:rFonts w:ascii="Consolas" w:hAnsi="Consolas" w:cs="Consolas" w:eastAsia="Consolas"/>
                <w:b w:val="0"/>
                <w:i w:val="0"/>
                <w:color w:val="1A1815"/>
                <w:sz w:val="20"/>
              </w:rPr>
              <w:t>Automatic prefix cache</w:t>
            </w:r>
          </w:p>
        </w:tc>
      </w:tr>
    </w:tbl>
    <w:p>
      <w:pPr>
        <w:spacing w:after="200"/>
      </w:pPr>
    </w:p>
    <w:p>
      <w:pPr>
        <w:spacing w:after="240" w:line="324" w:lineRule="auto"/>
      </w:pPr>
      <w:r>
        <w:rPr>
          <w:rFonts w:ascii="Iowan Old Style" w:hAnsi="Iowan Old Style" w:cs="Iowan Old Style" w:eastAsia="Iowan Old Style"/>
          <w:b w:val="0"/>
          <w:i w:val="0"/>
          <w:color w:val="1A1815"/>
          <w:sz w:val="22"/>
        </w:rPr>
        <w:t>Strategic implication: at a fifth of a US cent per analysis, AI narration is no longer a feature to gate or skip. It runs on every base analysis automatically, the same way you'd never gate computing the closing balance.</w:t>
      </w:r>
    </w:p>
    <w:p>
      <w:pPr>
        <w:keepNext/>
        <w:spacing w:before="400" w:after="160"/>
      </w:pPr>
      <w:r>
        <w:rPr>
          <w:rFonts w:ascii="Didot" w:hAnsi="Didot" w:cs="Didot" w:eastAsia="Didot"/>
          <w:b/>
          <w:i/>
          <w:color w:val="8B2635"/>
          <w:sz w:val="44"/>
        </w:rPr>
        <w:t>Limitations</w:t>
      </w:r>
    </w:p>
    <w:p>
      <w:pPr>
        <w:spacing w:after="160" w:line="324" w:lineRule="auto"/>
      </w:pPr>
      <w:r>
        <w:rPr>
          <w:rFonts w:ascii="Iowan Old Style" w:hAnsi="Iowan Old Style" w:cs="Iowan Old Style" w:eastAsia="Iowan Old Style"/>
          <w:b w:val="0"/>
          <w:i/>
          <w:color w:val="4F4A42"/>
          <w:sz w:val="22"/>
        </w:rPr>
        <w:t>Built in a day. Some are deliberate scope cuts; some are post-30 work. Documented honestly so a reader knows what they're picking up.</w:t>
      </w:r>
    </w:p>
    <w:p>
      <w:pPr>
        <w:pStyle w:val="ListBullet"/>
        <w:spacing w:after="60" w:line="312" w:lineRule="auto"/>
      </w:pPr>
      <w:r>
        <w:rPr>
          <w:rFonts w:ascii="Iowan Old Style" w:hAnsi="Iowan Old Style" w:cs="Iowan Old Style" w:eastAsia="Iowan Old Style"/>
          <w:b w:val="0"/>
          <w:i w:val="0"/>
          <w:color w:val="1A1815"/>
          <w:sz w:val="22"/>
        </w:rPr>
        <w:t>GBP only in the MVP. Non-GBP metadata is rejected with a clear remediation message.</w:t>
      </w:r>
    </w:p>
    <w:p>
      <w:pPr>
        <w:pStyle w:val="ListBullet"/>
        <w:spacing w:after="60" w:line="312" w:lineRule="auto"/>
      </w:pPr>
      <w:r>
        <w:rPr>
          <w:rFonts w:ascii="Iowan Old Style" w:hAnsi="Iowan Old Style" w:cs="Iowan Old Style" w:eastAsia="Iowan Old Style"/>
          <w:b w:val="0"/>
          <w:i w:val="0"/>
          <w:color w:val="1A1815"/>
          <w:sz w:val="22"/>
        </w:rPr>
        <w:t>Period labels are opaque strings. April-26, 2026-04 and Q1 26 all work; they sort by first-seen order. No date parsing.</w:t>
      </w:r>
    </w:p>
    <w:p>
      <w:pPr>
        <w:pStyle w:val="ListBullet"/>
        <w:spacing w:after="60" w:line="312" w:lineRule="auto"/>
      </w:pPr>
      <w:r>
        <w:rPr>
          <w:rFonts w:ascii="Iowan Old Style" w:hAnsi="Iowan Old Style" w:cs="Iowan Old Style" w:eastAsia="Iowan Old Style"/>
          <w:b w:val="0"/>
          <w:i w:val="0"/>
          <w:color w:val="1A1815"/>
          <w:sz w:val="22"/>
        </w:rPr>
        <w:t>AI commentary is a draft. The fallback when the API errors is a stub card with the error reason; the rest of the analysis still runs.</w:t>
      </w:r>
    </w:p>
    <w:p>
      <w:pPr>
        <w:pStyle w:val="ListBullet"/>
        <w:spacing w:after="60" w:line="312" w:lineRule="auto"/>
      </w:pPr>
      <w:r>
        <w:rPr>
          <w:rFonts w:ascii="Iowan Old Style" w:hAnsi="Iowan Old Style" w:cs="Iowan Old Style" w:eastAsia="Iowan Old Style"/>
          <w:b w:val="0"/>
          <w:i w:val="0"/>
          <w:color w:val="1A1815"/>
          <w:sz w:val="22"/>
        </w:rPr>
        <w:t>Power BI integration not yet wired (Day 3 had it). Could be added post-30 by reusing day-03's Power Query M generator.</w:t>
      </w:r>
    </w:p>
    <w:p>
      <w:pPr>
        <w:pStyle w:val="ListBullet"/>
        <w:spacing w:after="60" w:line="312" w:lineRule="auto"/>
      </w:pPr>
      <w:r>
        <w:rPr>
          <w:rFonts w:ascii="Iowan Old Style" w:hAnsi="Iowan Old Style" w:cs="Iowan Old Style" w:eastAsia="Iowan Old Style"/>
          <w:b w:val="0"/>
          <w:i w:val="0"/>
          <w:color w:val="1A1815"/>
          <w:sz w:val="22"/>
        </w:rPr>
        <w:t>Run history caps at 100 with FIFO eviction.</w:t>
      </w:r>
    </w:p>
    <w:p>
      <w:pPr>
        <w:pStyle w:val="ListBullet"/>
        <w:spacing w:after="60" w:line="312" w:lineRule="auto"/>
      </w:pPr>
      <w:r>
        <w:rPr>
          <w:rFonts w:ascii="Iowan Old Style" w:hAnsi="Iowan Old Style" w:cs="Iowan Old Style" w:eastAsia="Iowan Old Style"/>
          <w:b w:val="0"/>
          <w:i w:val="0"/>
          <w:color w:val="1A1815"/>
          <w:sz w:val="22"/>
        </w:rPr>
        <w:t>Scenario taxonomy covers six shock types. M&amp;A, hiring waves and capex spread are not yet supported.</w:t>
      </w:r>
    </w:p>
    <w:p>
      <w:pPr>
        <w:pStyle w:val="ListBullet"/>
        <w:spacing w:after="60" w:line="312" w:lineRule="auto"/>
      </w:pPr>
      <w:r>
        <w:rPr>
          <w:rFonts w:ascii="Iowan Old Style" w:hAnsi="Iowan Old Style" w:cs="Iowan Old Style" w:eastAsia="Iowan Old Style"/>
          <w:b w:val="0"/>
          <w:i w:val="0"/>
          <w:color w:val="1A1815"/>
          <w:sz w:val="22"/>
        </w:rPr>
        <w:t>Bank feed integration via open banking API is post-30, called out in the brief as the natural next step.</w:t>
      </w:r>
    </w:p>
    <w:p>
      <w:pPr>
        <w:keepNext/>
        <w:spacing w:before="400" w:after="160"/>
      </w:pPr>
      <w:r>
        <w:rPr>
          <w:rFonts w:ascii="Didot" w:hAnsi="Didot" w:cs="Didot" w:eastAsia="Didot"/>
          <w:b/>
          <w:i/>
          <w:color w:val="8B2635"/>
          <w:sz w:val="44"/>
        </w:rPr>
        <w:t>Bottom line</w:t>
      </w:r>
    </w:p>
    <w:p>
      <w:pPr>
        <w:spacing w:after="160" w:line="324" w:lineRule="auto"/>
      </w:pPr>
      <w:r>
        <w:rPr>
          <w:rFonts w:ascii="Iowan Old Style" w:hAnsi="Iowan Old Style" w:cs="Iowan Old Style" w:eastAsia="Iowan Old Style"/>
          <w:b w:val="0"/>
          <w:i w:val="0"/>
          <w:color w:val="1A1815"/>
          <w:sz w:val="22"/>
        </w:rPr>
        <w:t>A controller's 13-week cash plan used to be a spreadsheet job followed by a writing job. With this app it's a drop (or a sample click) plus an editorial pass on the AI paragraph. The DeepSeek migration is what makes the AI commentary feel like a system feature instead of a premium upsell. The tool earns its fraction of a cent of API spend many times over by giving the controller back an hour every week.</w:t>
      </w:r>
    </w:p>
    <w:p>
      <w:pPr>
        <w:spacing w:after="160" w:line="324" w:lineRule="auto"/>
      </w:pPr>
      <w:r>
        <w:rPr>
          <w:rFonts w:ascii="Iowan Old Style" w:hAnsi="Iowan Old Style" w:cs="Iowan Old Style" w:eastAsia="Iowan Old Style"/>
          <w:b w:val="0"/>
          <w:i/>
          <w:color w:val="4F4A42"/>
          <w:sz w:val="22"/>
        </w:rPr>
        <w:t>Day 5 tomorrow.</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