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35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x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5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A1A2E"/>
          <w:sz w:val="56"/>
        </w:rPr>
        <w:t>Death March — المجلد الأول (اختبار)</w:t>
      </w:r>
    </w:p>
    <w:p>
      <w:r>
        <w:br w:type="page"/>
      </w:r>
    </w:p>
    <w:p>
      <w:pPr>
        <w:jc w:val="right"/>
        <w:bidi w:val="1"/>
      </w:pPr>
      <w:r>
        <w:rPr>
          <w:rFonts w:ascii="Amiri" w:hAnsi="Amiri"/>
          <w:sz w:val="24"/>
        </w:rPr>
        <w:t>بدا الأمر وكأنه ميزة من ميزات الواقع المعزز، تشبه تلك التي نراها في ألعاب الهواتف الذكية.</w:t>
      </w:r>
    </w:p>
    <w:p>
      <w:pPr>
        <w:jc w:val="right"/>
        <w:bidi w:val="1"/>
      </w:pPr>
      <w:r>
        <w:rPr>
          <w:rFonts w:ascii="Amiri" w:hAnsi="Amiri"/>
          <w:sz w:val="24"/>
        </w:rPr>
        <w:t>«أم المفترض أن تكون هذه لعبة؟» أنينتُ بمرارة، محاولاً خداع أطرافي الواهنة لتتحرك.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