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 w:val="0"/>
          <w:bCs w:val="0"/>
          <w:highlight w:val="none"/>
        </w:rPr>
      </w:pPr>
      <w:r>
        <w:rPr>
          <w:b/>
          <w:bCs/>
        </w:rPr>
        <w:t xml:space="preserve">O programie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Praca inżynierska, motywacje technologie.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Aplikacja rozdziały: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34"/>
        <w:numPr>
          <w:ilvl w:val="0"/>
          <w:numId w:val="1"/>
        </w:num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Wstęp – falowa natura cząstek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W otaczającym nas świecie przyzwyczajeni jesteśmy do klasycznych zasad dynamiki. Jeśli podniesiemy piłkę na jakąś wysokość i puścimy ją, spodziewamy się, że zacznie ona coraz szybciej spadać w wyniku działania siły grawitacji. W tej sytuacji piłka będzie miała odpowiednio zmieniające się energie – kinetyczną i potencjalną grawitacji, jednak zgodnie z zasadą zachowania energii spełniona jest zależność:</w:t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Ecalk = Ek + Ep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/>
          <w:i/>
          <w:highlight w:val="cyan"/>
        </w:rPr>
      </w:pPr>
      <w:r>
        <w:rPr>
          <w:b w:val="0"/>
          <w:bCs w:val="0"/>
          <w:i/>
          <w:iCs/>
          <w:highlight w:val="cyan"/>
        </w:rPr>
        <w:t xml:space="preserve">WSTAWIĆ przeciąganie piłki na jakąś wysokość i przycisk do puszczania + wykresy energii (całk, kin, i pot)</w:t>
      </w:r>
      <w:r>
        <w:rPr>
          <w:b w:val="0"/>
          <w:bCs w:val="0"/>
          <w:i/>
          <w:iCs/>
          <w:highlight w:val="cyan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Okazuje się jednak, że nie udaje się tym rozumowaniem wyjaśnić ruchu znacznie mniejszych od piłki cząstek, o czym przekonało się wielu naukowców na początku XX w. Eksperymenty pokazywało, że światło czasami zachowywało się jak cząstka, a czasami jak fala.</w:t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Lous de Broglie wysnuł wniosek, że nie tylko światło, ale też materia posiada takie właściwości. Zaproponował, że materia też ma cechy fali i opisał długość tej fali jako:</w:t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/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λ</m:t>
        </m:r>
      </m:oMath>
      <w:r>
        <w:rPr>
          <w:b w:val="0"/>
          <w:bCs w:val="0"/>
          <w:highlight w:val="none"/>
        </w:rPr>
        <w:t xml:space="preserve">= h/p</w:t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Zostało to później potwierdzone w licznych eksperymentach.</w:t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Każdą falę da się opisać jakąś funkcją falową i tym zajął się Erwin </w:t>
      </w:r>
      <w:r>
        <w:rPr>
          <w:b w:val="0"/>
          <w:bCs w:val="0"/>
          <w:highlight w:val="none"/>
        </w:rPr>
        <w:t xml:space="preserve">Schrödinger.</w:t>
      </w:r>
      <w:r>
        <w:rPr>
          <w:b w:val="0"/>
          <w:bCs w:val="0"/>
          <w:highlight w:val="none"/>
        </w:rPr>
        <w:t xml:space="preserve"> Jako funkcję falową cząstki przyjęta została litera </w:t>
      </w: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ψ</m:t>
        </m:r>
      </m:oMath>
      <w:r>
        <w:rPr>
          <w:b w:val="0"/>
          <w:bCs w:val="0"/>
          <w:highlight w:val="none"/>
        </w:rPr>
        <w:t xml:space="preserve"> (psi).</w:t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Równanie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Schrödinger</w:t>
      </w:r>
      <w:r/>
      <w:r>
        <w:rPr>
          <w:b w:val="0"/>
          <w:bCs w:val="0"/>
          <w:highlight w:val="none"/>
        </w:rPr>
        <w:t xml:space="preserve"> niezależne od czasu dla jednego wymiaru możemy zapisać:</w:t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/>
      <m:oMathPara>
        <m:oMathParaPr/>
        <m:oMath>
          <m:r>
            <w:rPr>
              <w:rFonts w:ascii="Cambria Math" w:hAnsi="Cambria Math" w:eastAsia="Cambria Math" w:cs="Cambria Math"/>
            </w:rPr>
            <m:rPr/>
            <m:t>-</m:t>
          </m:r>
          <m:f>
            <m:fPr>
              <m:ctrlPr>
                <w:rPr>
                  <w:rFonts w:ascii="Cambria Math" w:hAnsi="Cambria Math" w:eastAsia="Cambria Math" w:cs="Cambria Math"/>
                  <w:b w:val="0"/>
                  <w:bCs w:val="0"/>
                  <w:i/>
                  <w:highlight w:val="none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eastAsia="Cambria Math" w:cs="Cambria Math"/>
                      <w:i/>
                      <w:strike w:val="0"/>
                      <w:sz w:val="22"/>
                      <w:highlight w:val="none"/>
                      <w:u w:val="none"/>
                    </w:rPr>
                  </m:ctrlPr>
                </m:sSupPr>
                <m:e>
                  <m:r>
                    <m:rPr/>
                    <m:t>ħ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strike w:val="0"/>
                      <w:sz w:val="22"/>
                      <w:szCs w:val="22"/>
                      <w:highlight w:val="none"/>
                      <w:u w:val="none"/>
                    </w:rPr>
                    <m:rPr>
                      <m:sty m:val="i"/>
                    </m:rPr>
                    <m:t>2</m:t>
                  </m:r>
                </m:sup>
              </m:sSup>
            </m:num>
            <m:den>
              <m:r>
                <w:rPr>
                  <w:rFonts w:hint="default" w:ascii="Cambria Math" w:hAnsi="Cambria Math" w:eastAsia="Cambria Math" w:cs="Cambria Math"/>
                  <w:highlight w:val="none"/>
                </w:rPr>
                <m:rPr>
                  <m:sty m:val="i"/>
                </m:rPr>
                <m:t>2m</m:t>
              </m:r>
            </m:den>
          </m:f>
          <m:r>
            <w:rPr>
              <w:rFonts w:hint="default" w:ascii="Cambria Math" w:hAnsi="Cambria Math" w:eastAsia="Cambria Math" w:cs="Cambria Math"/>
              <w:highlight w:val="none"/>
            </w:rPr>
            <m:rPr>
              <m:sty m:val="i"/>
            </m:rPr>
            <m:t>∙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d</m:t>
                  </m:r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="Cambria Math" w:cs="Cambria Math"/>
                </w:rPr>
                <m:rPr/>
                <m:t>ψ</m:t>
              </m:r>
            </m:num>
            <m:den>
              <m:sSup>
                <m:sSupPr>
                  <m:ctrlPr/>
                </m:sSup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+</m:t>
          </m:r>
          <m:r>
            <w:rPr>
              <w:rFonts w:ascii="Cambria Math" w:hAnsi="Cambria Math" w:eastAsia="Cambria Math" w:cs="Cambria Math"/>
            </w:rPr>
            <m:rPr/>
            <m:t> V</m:t>
          </m:r>
          <m:r>
            <w:rPr>
              <w:rFonts w:ascii="Cambria Math" w:hAnsi="Cambria Math" w:eastAsia="Cambria Math" w:cs="Cambria Math"/>
            </w:rPr>
            <m:rPr/>
            <m:t>(x)</m:t>
          </m:r>
          <m:r>
            <w:rPr>
              <w:rFonts w:ascii="Cambria Math" w:hAnsi="Cambria Math" w:eastAsia="Cambria Math" w:cs="Cambria Math"/>
            </w:rPr>
            <m:rPr/>
            <m:t>ψ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E</m:t>
          </m:r>
          <m:r>
            <w:rPr>
              <w:rFonts w:hint="default" w:ascii="Cambria Math" w:hAnsi="Cambria Math" w:eastAsia="Cambria Math" w:cs="Cambria Math"/>
            </w:rPr>
            <m:rPr/>
            <m:t>(x)</m:t>
          </m:r>
          <m:r>
            <w:rPr>
              <w:rFonts w:hint="default" w:ascii="Cambria Math" w:hAnsi="Cambria Math" w:eastAsia="Cambria Math" w:cs="Cambria Math"/>
            </w:rPr>
            <m:rPr/>
            <m:t>ψ</m:t>
          </m:r>
        </m:oMath>
      </m:oMathPara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Jest to odpownik klasycznego Ek + Ep = Ecalk dla funkcji falowej.</w:t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Piewrszy wyraz - Ek</w:t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V(x) - potencjał</w:t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E(x) – energia całkowita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Czym jednak właściwie jest to </w:t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ψ</m:t>
        </m:r>
      </m:oMath>
      <w:r>
        <w:rPr>
          <w:b w:val="0"/>
          <w:bCs w:val="0"/>
          <w:highlight w:val="none"/>
        </w:rPr>
        <w:t xml:space="preserve">? </w:t>
      </w:r>
      <w:r>
        <w:rPr>
          <w:b w:val="0"/>
          <w:bCs w:val="0"/>
          <w:highlight w:val="none"/>
        </w:rPr>
        <w:t xml:space="preserve">Funkcja falowa </w:t>
      </w: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ψ</m:t>
        </m:r>
      </m:oMath>
      <w:r>
        <w:rPr>
          <w:b w:val="0"/>
          <w:bCs w:val="0"/>
          <w:highlight w:val="none"/>
        </w:rPr>
        <w:t xml:space="preserve"> pomaga nam w opisie ruchu jednak nie ma żadnej interpretacji fizycznej. Jednak już kwadrat modułu czyli |</w:t>
      </w: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ψ</m:t>
        </m:r>
      </m:oMath>
      <w:r/>
      <w:r>
        <w:rPr>
          <w:b w:val="0"/>
          <w:bCs w:val="0"/>
          <w:highlight w:val="none"/>
        </w:rPr>
        <w:t xml:space="preserve">|</w:t>
      </w:r>
      <w:r>
        <w:rPr>
          <w:b w:val="0"/>
          <w:bCs w:val="0"/>
          <w:highlight w:val="none"/>
          <w:vertAlign w:val="superscript"/>
        </w:rPr>
        <w:t xml:space="preserve">2</w:t>
      </w:r>
      <w:r>
        <w:rPr>
          <w:b w:val="0"/>
          <w:bCs w:val="0"/>
          <w:highlight w:val="none"/>
          <w:vertAlign w:val="baseline"/>
        </w:rPr>
        <w:t xml:space="preserve"> okazuje się być prawdopodobieństwem znalezienia cząstki w danym miejscu.</w:t>
      </w:r>
      <w:r>
        <w:rPr>
          <w:b w:val="0"/>
          <w:bCs w:val="0"/>
          <w:highlight w:val="none"/>
          <w:vertAlign w:val="baseli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:vertAlign w:val="baseline"/>
        </w:rPr>
      </w:r>
    </w:p>
    <w:p>
      <w:pPr>
        <w:rPr>
          <w:b w:val="0"/>
          <w:bCs w:val="0"/>
          <w:highlight w:val="none"/>
          <w:vertAlign w:val="baseli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34"/>
        <w:numPr>
          <w:ilvl w:val="0"/>
          <w:numId w:val="1"/>
        </w:num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Nieskończona studnia</w:t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Żeby zrozumieć jak inny jest ruch cząstek od klasycznie poruszających się piłek wyobraźmy sobie sytuację w której umieszczamy cząstkę nieskończonej studni potencjału o szerokości </w:t>
      </w:r>
      <w:r>
        <w:rPr>
          <w:b w:val="0"/>
          <w:bCs w:val="0"/>
          <w:i/>
          <w:iCs/>
          <w:highlight w:val="none"/>
        </w:rPr>
        <w:t xml:space="preserve">a</w:t>
      </w:r>
      <w:r>
        <w:rPr>
          <w:b w:val="0"/>
          <w:bCs w:val="0"/>
          <w:highlight w:val="none"/>
        </w:rPr>
        <w:t xml:space="preserve">:</w:t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69358" cy="20677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92442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769358" cy="2067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96.80pt;height:162.82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Według klasycznego opisu możemy cząstce nadać każdą energię, jednak będzie się ona odbijać od obu ścian studni.</w:t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/>
          <w:i/>
          <w:highlight w:val="none"/>
        </w:rPr>
      </w:pPr>
      <w:r>
        <w:rPr>
          <w:b w:val="0"/>
          <w:bCs w:val="0"/>
          <w:i/>
          <w:iCs/>
          <w:highlight w:val="cyan"/>
        </w:rPr>
        <w:t xml:space="preserve">Wykres klasyczny z suwakiem dla prędkości i pokazanie energii kinetycznej.</w:t>
      </w:r>
      <w:r>
        <w:rPr>
          <w:b w:val="0"/>
          <w:bCs w:val="0"/>
          <w:i/>
          <w:iCs/>
          <w:highlight w:val="cyan"/>
        </w:rPr>
      </w:r>
    </w:p>
    <w:p>
      <w:pPr>
        <w:ind w:left="0" w:firstLine="0"/>
        <w:rPr>
          <w:b w:val="0"/>
          <w:bCs/>
          <w:i/>
          <w:highlight w:val="cyan"/>
        </w:rPr>
      </w:pPr>
      <w:r>
        <w:rPr>
          <w:b w:val="0"/>
          <w:bCs/>
          <w:i/>
          <w:highlight w:val="cyan"/>
        </w:rPr>
      </w:r>
      <w:r>
        <w:rPr>
          <w:b w:val="0"/>
          <w:bCs/>
          <w:i/>
          <w:highlight w:val="cyan"/>
        </w:rPr>
      </w:r>
    </w:p>
    <w:p>
      <w:pPr>
        <w:ind w:left="0" w:firstLine="0"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Jest to oczywiście opis błędny bo potrzebujemy tutaj równania Schrodingera:</w:t>
      </w:r>
      <w:r>
        <w:rPr>
          <w:b w:val="0"/>
          <w:bCs w:val="0"/>
          <w:i w:val="0"/>
          <w:highlight w:val="cyan"/>
        </w:rPr>
      </w:r>
    </w:p>
    <w:p>
      <w:pPr>
        <w:ind w:left="0" w:firstLine="0"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</w:r>
      <w:r/>
      <m:oMathPara>
        <m:oMathParaPr/>
        <m:oMath>
          <m:r>
            <w:rPr>
              <w:rFonts w:ascii="Cambria Math" w:hAnsi="Cambria Math" w:eastAsia="Cambria Math" w:cs="Cambria Math"/>
            </w:rPr>
            <m:rPr/>
            <m:t>-</m:t>
          </m:r>
          <m:f>
            <m:fPr>
              <m:ctrlPr>
                <w:rPr>
                  <w:rFonts w:ascii="Cambria Math" w:hAnsi="Cambria Math" w:eastAsia="Cambria Math" w:cs="Cambria Math"/>
                  <w:b w:val="0"/>
                  <w:bCs w:val="0"/>
                  <w:i/>
                  <w:highlight w:val="non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  <w:strike w:val="0"/>
                      <w:sz w:val="22"/>
                      <w:highlight w:val="none"/>
                      <w:u w:val="none"/>
                    </w:rPr>
                  </m:ctrlPr>
                </m:sSupPr>
                <m:e>
                  <m:r>
                    <m:rPr/>
                    <m:t>ħ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strike w:val="0"/>
                      <w:sz w:val="22"/>
                      <w:szCs w:val="22"/>
                      <w:highlight w:val="none"/>
                      <w:u w:val="none"/>
                    </w:rPr>
                    <m:rPr>
                      <m:sty m:val="i"/>
                    </m:rPr>
                    <m:t>2</m:t>
                  </m:r>
                </m:sup>
              </m:sSup>
            </m:num>
            <m:den>
              <m:r>
                <w:rPr>
                  <w:rFonts w:hint="default" w:ascii="Cambria Math" w:hAnsi="Cambria Math" w:eastAsia="Cambria Math" w:cs="Cambria Math"/>
                  <w:highlight w:val="none"/>
                </w:rPr>
                <m:rPr>
                  <m:sty m:val="i"/>
                </m:rPr>
                <m:t>2m</m:t>
              </m:r>
            </m:den>
          </m:f>
          <m:r>
            <w:rPr>
              <w:rFonts w:hint="default" w:ascii="Cambria Math" w:hAnsi="Cambria Math" w:eastAsia="Cambria Math" w:cs="Cambria Math"/>
              <w:highlight w:val="none"/>
            </w:rPr>
            <m:rPr>
              <m:sty m:val="i"/>
            </m:rPr>
            <m:t>∙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d</m:t>
                  </m:r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="Cambria Math" w:cs="Cambria Math"/>
                </w:rPr>
                <m:rPr/>
                <m:t>ψ</m:t>
              </m:r>
            </m:num>
            <m:den>
              <m:sSup>
                <m:sSupPr>
                  <m:ctrlPr/>
                </m:sSup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+</m:t>
          </m:r>
          <m:r>
            <w:rPr>
              <w:rFonts w:ascii="Cambria Math" w:hAnsi="Cambria Math" w:eastAsia="Cambria Math" w:cs="Cambria Math"/>
            </w:rPr>
            <m:rPr/>
            <m:t> V</m:t>
          </m:r>
          <m:r>
            <w:rPr>
              <w:rFonts w:ascii="Cambria Math" w:hAnsi="Cambria Math" w:eastAsia="Cambria Math" w:cs="Cambria Math"/>
            </w:rPr>
            <m:rPr/>
            <m:t>(x)</m:t>
          </m:r>
          <m:r>
            <w:rPr>
              <w:rFonts w:ascii="Cambria Math" w:hAnsi="Cambria Math" w:eastAsia="Cambria Math" w:cs="Cambria Math"/>
            </w:rPr>
            <m:rPr/>
            <m:t>ψ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E</m:t>
          </m:r>
          <m:r>
            <w:rPr>
              <w:rFonts w:hint="default" w:ascii="Cambria Math" w:hAnsi="Cambria Math" w:eastAsia="Cambria Math" w:cs="Cambria Math"/>
            </w:rPr>
            <m:rPr/>
            <m:t>(x)</m:t>
          </m:r>
          <m:r>
            <w:rPr>
              <w:rFonts w:hint="default" w:ascii="Cambria Math" w:hAnsi="Cambria Math" w:eastAsia="Cambria Math" w:cs="Cambria Math"/>
            </w:rPr>
            <m:rPr/>
            <m:t>ψ</m:t>
          </m:r>
        </m:oMath>
      </m:oMathPara>
      <w:r/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</w:r>
    </w:p>
    <w:p>
      <w:pPr>
        <w:ind w:left="0" w:firstLine="0"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Podzielmy sobie studnie na 3 obszary. </w:t>
      </w: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</w:r>
    </w:p>
    <w:p>
      <w:pPr>
        <w:ind w:left="0" w:firstLine="0"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45315" cy="239258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09076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245314" cy="23925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34.28pt;height:188.39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</w:r>
    </w:p>
    <w:p>
      <w:pPr>
        <w:ind w:left="0" w:firstLine="0"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  <w:t xml:space="preserve">W obszarach I i III energia całkowita byłaby nieskończona, jednak łamałoby to I zasadę termodynamiki, więc jedynym rozwiązaniem w tych obszarach jest </w:t>
      </w:r>
      <m:oMath>
        <m:r>
          <w:rPr>
            <w:rFonts w:ascii="Cambria Math" w:hAnsi="Cambria Math" w:eastAsia="Cambria Math" w:cs="Cambria Math"/>
          </w:rPr>
          <m:rPr/>
          <m:t>ψ</m:t>
        </m:r>
        <m:r>
          <w:rPr>
            <w:rFonts w:ascii="Cambria Math" w:hAnsi="Cambria Math" w:eastAsia="Cambria Math" w:cs="Cambria Math"/>
          </w:rPr>
          <m:rPr/>
          <m:t>=0</m:t>
        </m:r>
      </m:oMath>
      <w:r>
        <w:rPr>
          <w:b w:val="0"/>
          <w:bCs w:val="0"/>
          <w:i w:val="0"/>
          <w:iCs w:val="0"/>
          <w:highlight w:val="none"/>
        </w:rPr>
        <w:t xml:space="preserve">. W obszarze środkowym V(x)=0 więc </w:t>
      </w:r>
      <w:r/>
      <w:r>
        <w:rPr>
          <w:b w:val="0"/>
          <w:bCs w:val="0"/>
          <w:i w:val="0"/>
          <w:iCs w:val="0"/>
          <w:highlight w:val="none"/>
        </w:rPr>
        <w:t xml:space="preserve">równanie możemy zapisać jako:</w:t>
      </w:r>
      <w:r>
        <w:rPr>
          <w:b w:val="0"/>
          <w:bCs w:val="0"/>
          <w:i w:val="0"/>
          <w:iCs w:val="0"/>
          <w:highlight w:val="none"/>
        </w:rPr>
      </w:r>
    </w:p>
    <w:p>
      <w:pPr>
        <w:ind w:left="0" w:firstLine="0"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</w:r>
      <w:r/>
      <m:oMathPara>
        <m:oMathParaPr/>
        <m:oMath>
          <m:r>
            <w:rPr>
              <w:rFonts w:ascii="Cambria Math" w:hAnsi="Cambria Math" w:eastAsia="Cambria Math" w:cs="Cambria Math"/>
            </w:rPr>
            <m:rPr/>
            <m:t>-</m:t>
          </m:r>
          <m:f>
            <m:fPr>
              <m:ctrlPr>
                <w:rPr>
                  <w:rFonts w:ascii="Cambria Math" w:hAnsi="Cambria Math" w:eastAsia="Cambria Math" w:cs="Cambria Math"/>
                  <w:b w:val="0"/>
                  <w:bCs w:val="0"/>
                  <w:i/>
                  <w:highlight w:val="non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  <w:strike w:val="0"/>
                      <w:sz w:val="22"/>
                      <w:highlight w:val="none"/>
                      <w:u w:val="none"/>
                    </w:rPr>
                  </m:ctrlPr>
                </m:sSupPr>
                <m:e>
                  <m:r>
                    <m:rPr/>
                    <m:t>ħ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strike w:val="0"/>
                      <w:sz w:val="22"/>
                      <w:szCs w:val="22"/>
                      <w:highlight w:val="none"/>
                      <w:u w:val="none"/>
                    </w:rPr>
                    <m:rPr>
                      <m:sty m:val="i"/>
                    </m:rPr>
                    <m:t>2</m:t>
                  </m:r>
                </m:sup>
              </m:sSup>
            </m:num>
            <m:den>
              <m:r>
                <w:rPr>
                  <w:rFonts w:hint="default" w:ascii="Cambria Math" w:hAnsi="Cambria Math" w:eastAsia="Cambria Math" w:cs="Cambria Math"/>
                  <w:highlight w:val="none"/>
                </w:rPr>
                <m:rPr>
                  <m:sty m:val="i"/>
                </m:rPr>
                <m:t>2m</m:t>
              </m:r>
            </m:den>
          </m:f>
          <m:r>
            <w:rPr>
              <w:rFonts w:hint="default" w:ascii="Cambria Math" w:hAnsi="Cambria Math" w:eastAsia="Cambria Math" w:cs="Cambria Math"/>
              <w:highlight w:val="none"/>
            </w:rPr>
            <m:rPr>
              <m:sty m:val="i"/>
            </m:rPr>
            <m:t>∙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d</m:t>
                  </m:r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="Cambria Math" w:cs="Cambria Math"/>
                </w:rPr>
                <m:rPr/>
                <m:t>ψ</m:t>
              </m:r>
            </m:num>
            <m:den>
              <m:sSup>
                <m:sSupPr>
                  <m:ctrlPr/>
                </m:sSup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E</m:t>
          </m:r>
          <m:r>
            <w:rPr>
              <w:rFonts w:hint="default" w:ascii="Cambria Math" w:hAnsi="Cambria Math" w:eastAsia="Cambria Math" w:cs="Cambria Math"/>
            </w:rPr>
            <m:rPr/>
            <m:t>ψ</m:t>
          </m:r>
        </m:oMath>
      </m:oMathPara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</w:r>
    </w:p>
    <w:p>
      <w:pPr>
        <w:ind w:left="0" w:firstLine="0"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Stosując podstawienie </w:t>
      </w:r>
      <m:oMath>
        <m:r>
          <w:rPr>
            <w:rFonts w:ascii="Cambria Math" w:hAnsi="Cambria Math" w:eastAsia="Cambria Math" w:cs="Cambria Math"/>
          </w:rPr>
          <m:rPr/>
          <m:t>k</m:t>
        </m:r>
        <m:r>
          <w:rPr>
            <w:rFonts w:ascii="Cambria Math" w:hAnsi="Cambria Math" w:eastAsia="Cambria Math" w:cs="Cambria Math"/>
          </w:rPr>
          <m:rPr/>
          <m:t>=</m:t>
        </m:r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  <w:iCs w:val="0"/>
                <w:highlight w:val="none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1</m:t>
            </m:r>
          </m:num>
          <m:den>
            <m:r>
              <m:rPr/>
              <m:t>ħ</m:t>
            </m:r>
          </m:den>
        </m:f>
        <m:rad>
          <m:radPr>
            <m:degHide m:val="on"/>
            <m:ctrlPr>
              <w:rPr>
                <w:rFonts w:ascii="Cambria Math" w:hAnsi="Cambria Math" w:eastAsia="Cambria Math" w:cs="Cambria Math"/>
                <w:i/>
                <w:highlight w:val="none"/>
              </w:rPr>
            </m:ctrlPr>
          </m:radPr>
          <m:deg>
            <m:r>
              <w:rPr>
                <w:rFonts w:ascii="Cambria Math" w:hAnsi="Cambria Math" w:eastAsia="Cambria Math" w:cs="Cambria Math"/>
              </w:rPr>
              <m:rPr/>
              <m:t/>
            </m:r>
          </m:deg>
          <m:e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2mE</m:t>
            </m:r>
          </m:e>
        </m:rad>
      </m:oMath>
      <w:r>
        <w:rPr>
          <w:b w:val="0"/>
          <w:bCs w:val="0"/>
          <w:i w:val="0"/>
          <w:iCs w:val="0"/>
          <w:highlight w:val="none"/>
        </w:rPr>
        <w:t xml:space="preserve"> otrzymujemy równanie różniczkowe:</w:t>
      </w:r>
      <w:r>
        <w:rPr>
          <w:b w:val="0"/>
          <w:bCs w:val="0"/>
          <w:i w:val="0"/>
          <w:iCs w:val="0"/>
          <w:highlight w:val="none"/>
        </w:rPr>
      </w:r>
    </w:p>
    <w:p>
      <w:pPr>
        <w:ind w:left="0" w:firstLine="0"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</w:r>
      <w:r/>
      <m:oMathPara>
        <m:oMathParaPr/>
        <m:oMath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d</m:t>
                  </m:r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="Cambria Math" w:cs="Cambria Math"/>
                </w:rPr>
                <m:rPr/>
                <m:t>ψ</m:t>
              </m:r>
            </m:num>
            <m:den>
              <m:sSup>
                <m:sSupPr>
                  <m:ctrlPr/>
                </m:sSup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 w:eastAsia="Cambria Math" w:cs="Cambria Math"/>
            </w:rPr>
            <m:rPr/>
            <m:t>+</m:t>
          </m:r>
          <m:r>
            <w:rPr>
              <w:rFonts w:ascii="Cambria Math" w:hAnsi="Cambria Math" w:eastAsia="Cambria Math" w:cs="Cambria Math"/>
            </w:rPr>
            <m:rPr/>
            <m:t> </m:t>
          </m:r>
          <m:sSup>
            <m:sSupPr>
              <m:ctrlPr>
                <w:rPr>
                  <w:rFonts w:hint="default" w:ascii="Cambria Math" w:hAnsi="Cambria Math" w:eastAsia="Cambria Math" w:cs="Cambria Math"/>
                  <w:i/>
                </w:rPr>
              </m:ctrlPr>
            </m:sSupPr>
            <m:e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k</m:t>
              </m:r>
            </m:e>
            <m:sup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2</m:t>
              </m:r>
            </m:sup>
          </m:sSup>
          <m:r>
            <w:rPr>
              <w:rFonts w:ascii="Cambria Math" w:hAnsi="Cambria Math" w:eastAsia="Cambria Math" w:cs="Cambria Math"/>
            </w:rPr>
            <m:rPr/>
            <m:t>ψ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0</m:t>
          </m:r>
        </m:oMath>
      </m:oMathPara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</w:r>
    </w:p>
    <w:p>
      <w:pPr>
        <w:ind w:left="0" w:firstLine="0"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Z którego dostajemy rozwiązanie:</w:t>
      </w:r>
      <w:r>
        <w:rPr>
          <w:b w:val="0"/>
          <w:bCs w:val="0"/>
          <w:i w:val="0"/>
          <w:iCs w:val="0"/>
          <w:highlight w:val="none"/>
        </w:rPr>
      </w:r>
    </w:p>
    <w:p>
      <w:pPr>
        <w:ind w:left="0" w:firstLine="0"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</w:r>
      <w:r/>
      <m:oMathPara>
        <m:oMathParaPr/>
        <m:oMath>
          <m:r>
            <w:rPr>
              <w:rFonts w:ascii="Cambria Math" w:hAnsi="Cambria Math" w:eastAsia="Cambria Math" w:cs="Cambria Math"/>
            </w:rPr>
            <m:rPr/>
            <m:t>ψ</m:t>
          </m:r>
          <m:r>
            <w:rPr>
              <w:rFonts w:ascii="Cambria Math" w:hAnsi="Cambria Math" w:eastAsia="Cambria Math" w:cs="Cambria Math"/>
            </w:rPr>
            <m:rPr/>
            <m:t>=Asi</m:t>
          </m:r>
          <m:r>
            <w:rPr>
              <w:rFonts w:ascii="Cambria Math" w:hAnsi="Cambria Math" w:eastAsia="Cambria Math" w:cs="Cambria Math"/>
            </w:rPr>
            <m:rPr/>
            <m:t>n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 w:eastAsia="Cambria Math" w:cs="Cambria Math"/>
                </w:rPr>
                <m:rPr/>
                <m:t>kx</m:t>
              </m:r>
            </m:e>
          </m:d>
          <m:r>
            <w:rPr>
              <w:rFonts w:ascii="Cambria Math" w:hAnsi="Cambria Math" w:eastAsia="Cambria Math" w:cs="Cambria Math"/>
            </w:rPr>
            <m:rPr/>
            <m:t>+</m:t>
          </m:r>
          <m:r>
            <w:rPr>
              <w:rFonts w:ascii="Cambria Math" w:hAnsi="Cambria Math" w:eastAsia="Cambria Math" w:cs="Cambria Math"/>
            </w:rPr>
            <m:rPr/>
            <m:t> Bcos(kx)</m:t>
          </m:r>
        </m:oMath>
      </m:oMathPara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</w:r>
    </w:p>
    <w:p>
      <w:pPr>
        <w:ind w:left="0" w:firstLine="0"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Funkcja falowa musi być ciągła, a jeżeli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ψ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</m:sub>
        </m:sSub>
        <m:r>
          <w:rPr>
            <w:rFonts w:ascii="Cambria Math" w:hAnsi="Cambria Math" w:eastAsia="Cambria Math" w:cs="Cambria Math"/>
          </w:rPr>
          <m:rPr/>
          <m:t>=</m:t>
        </m:r>
        <m:sSub>
          <m:sSubPr>
            <m:ctrlPr>
              <w:rPr>
                <w:rFonts w:ascii="Cambria Math" w:hAnsi="Cambria Math" w:eastAsia="Cambria Math" w:cs="Cambria Math"/>
                <w:i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p"/>
              </m:rPr>
              <m:t>ψ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II</m:t>
            </m:r>
          </m:sub>
        </m:sSub>
      </m:oMath>
      <w:r>
        <w:rPr>
          <w:b w:val="0"/>
          <w:bCs w:val="0"/>
          <w:i w:val="0"/>
          <w:iCs w:val="0"/>
          <w:highlight w:val="none"/>
        </w:rPr>
        <w:t xml:space="preserve">=0 to A albo B musi być równe 0, a k musi na skrajach dać nam wartość funkcji równą zeru. Przykładowym rozwiązaniem może być:</w:t>
      </w:r>
      <w:r>
        <w:rPr>
          <w:b w:val="0"/>
          <w:bCs w:val="0"/>
          <w:i w:val="0"/>
          <w:iCs w:val="0"/>
          <w:highlight w:val="none"/>
        </w:rPr>
      </w:r>
    </w:p>
    <w:p>
      <w:pPr>
        <w:ind w:left="0" w:firstLine="0"/>
        <w:rPr>
          <w:b w:val="0"/>
          <w:bCs w:val="0"/>
          <w:i w:val="0"/>
          <w:highlight w:val="none"/>
        </w:rPr>
      </w:pPr>
      <w:r/>
      <m:oMath>
        <m:r>
          <w:rPr>
            <w:rFonts w:ascii="Cambria Math" w:hAnsi="Cambria Math" w:eastAsia="Cambria Math" w:cs="Cambria Math"/>
          </w:rPr>
          <m:rPr/>
          <m:t>k</m:t>
        </m:r>
        <m:r>
          <w:rPr>
            <w:rFonts w:ascii="Cambria Math" w:hAnsi="Cambria Math" w:eastAsia="Cambria Math" w:cs="Cambria Math"/>
          </w:rPr>
          <m:rPr/>
          <m:t>=</m:t>
        </m:r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  <w:iCs w:val="0"/>
                <w:highlight w:val="none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2"/>
                <w:szCs w:val="22"/>
                <w:highlight w:val="none"/>
                <w:u w:val="none"/>
                <w:vertAlign w:val="baseline"/>
                <w:lang w:val="pl-PL" w:eastAsia="en-US" w:bidi="ar-SA"/>
                <w14:ligatures w14:val="none"/>
              </w:rPr>
              <m:rPr>
                <m:sty m:val="i"/>
              </m:rPr>
              <m:t>π</m:t>
            </m:r>
          </m:num>
          <m:den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a</m:t>
            </m:r>
          </m:den>
        </m:f>
      </m:oMath>
      <w:r>
        <w:rPr>
          <w:b w:val="0"/>
          <w:bCs w:val="0"/>
          <w:i w:val="0"/>
          <w:iCs w:val="0"/>
          <w:highlight w:val="none"/>
        </w:rPr>
        <w:t xml:space="preserve"> Dla cosinusa i </w:t>
      </w:r>
      <w:r/>
      <m:oMath>
        <m:r>
          <w:rPr>
            <w:rFonts w:ascii="Cambria Math" w:hAnsi="Cambria Math" w:eastAsia="Cambria Math" w:cs="Cambria Math"/>
          </w:rPr>
          <m:rPr/>
          <m:t>k</m:t>
        </m:r>
        <m:r>
          <w:rPr>
            <w:rFonts w:ascii="Cambria Math" w:hAnsi="Cambria Math" w:eastAsia="Cambria Math" w:cs="Cambria Math"/>
          </w:rPr>
          <m:rPr/>
          <m:t>=</m:t>
        </m:r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  <w:iCs w:val="0"/>
                <w:highlight w:val="none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2"/>
                <w:szCs w:val="22"/>
                <w:highlight w:val="none"/>
                <w:u w:val="none"/>
                <w:vertAlign w:val="baseline"/>
                <w:lang w:val="pl-PL" w:eastAsia="en-US" w:bidi="ar-SA"/>
                <w14:ligatures w14:val="none"/>
              </w:rPr>
              <m:rPr>
                <m:sty m:val="i"/>
              </m:rPr>
              <m:t>2</m:t>
            </m:r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2"/>
                <w:szCs w:val="22"/>
                <w:highlight w:val="none"/>
                <w:u w:val="none"/>
                <w:vertAlign w:val="baseline"/>
                <w:lang w:val="pl-PL" w:eastAsia="en-US" w:bidi="ar-SA"/>
                <w14:ligatures w14:val="none"/>
              </w:rPr>
              <m:rPr>
                <m:sty m:val="i"/>
              </m:rPr>
              <m:t>π</m:t>
            </m:r>
          </m:num>
          <m:den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a</m:t>
            </m:r>
          </m:den>
        </m:f>
      </m:oMath>
      <w:r>
        <w:t xml:space="preserve"> dla sinusa jednak ze względu na okresowość tych funkcji ogólnym rozwiązaniem będzie:</w:t>
      </w: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</w:r>
    </w:p>
    <w:p>
      <w:pPr>
        <w:ind w:left="0" w:firstLine="0"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</w:r>
      <w:r/>
      <m:oMathPara>
        <m:oMathParaPr/>
        <m:oMath>
          <m:r>
            <w:rPr>
              <w:rFonts w:ascii="Cambria Math" w:hAnsi="Cambria Math" w:eastAsia="Cambria Math" w:cs="Cambria Math"/>
            </w:rPr>
            <m:rPr/>
            <m:t>k</m:t>
          </m:r>
          <m:r>
            <w:rPr>
              <w:rFonts w:ascii="Cambria Math" w:hAnsi="Cambria Math" w:eastAsia="Cambria Math" w:cs="Cambria Math"/>
            </w:rPr>
            <m:rPr/>
            <m:t>=</m:t>
          </m:r>
          <m:f>
            <m:fPr>
              <m:ctrlPr>
                <w:rPr>
                  <w:rFonts w:ascii="Cambria Math" w:hAnsi="Cambria Math" w:eastAsia="Cambria Math" w:cs="Cambria Math"/>
                  <w:b w:val="0"/>
                  <w:bCs w:val="0"/>
                  <w:i/>
                  <w:iCs w:val="0"/>
                  <w:highlight w:val="none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caps w:val="0"/>
                  <w:smallCaps w:val="0"/>
                  <w:strike w:val="0"/>
                  <w:color w:val="auto"/>
                  <w:spacing w:val="0"/>
                  <w:position w:val="0"/>
                  <w:sz w:val="22"/>
                  <w:szCs w:val="22"/>
                  <w:highlight w:val="none"/>
                  <w:u w:val="none"/>
                  <w:vertAlign w:val="baseline"/>
                  <w:lang w:val="pl-PL" w:eastAsia="en-US" w:bidi="ar-SA"/>
                  <w14:ligatures w14:val="none"/>
                </w:rPr>
                <m:rPr>
                  <m:sty m:val="i"/>
                </m:rPr>
                <m:t>n</m:t>
              </m:r>
              <m:r>
                <w:rPr>
                  <w:rFonts w:hint="default" w:ascii="Cambria Math" w:hAnsi="Cambria Math" w:eastAsia="Cambria Math" w:cs="Cambria Math"/>
                  <w:caps w:val="0"/>
                  <w:smallCaps w:val="0"/>
                  <w:strike w:val="0"/>
                  <w:color w:val="auto"/>
                  <w:spacing w:val="0"/>
                  <w:position w:val="0"/>
                  <w:sz w:val="22"/>
                  <w:szCs w:val="22"/>
                  <w:highlight w:val="none"/>
                  <w:u w:val="none"/>
                  <w:vertAlign w:val="baseline"/>
                  <w:lang w:val="pl-PL" w:eastAsia="en-US" w:bidi="ar-SA"/>
                  <w14:ligatures w14:val="none"/>
                </w:rPr>
                <m:rPr>
                  <m:sty m:val="i"/>
                </m:rPr>
                <m:t>π</m:t>
              </m:r>
            </m:num>
            <m:den>
              <m:r>
                <w:rPr>
                  <w:rFonts w:hint="default" w:ascii="Cambria Math" w:hAnsi="Cambria Math" w:eastAsia="Cambria Math" w:cs="Cambria Math"/>
                  <w:highlight w:val="none"/>
                </w:rPr>
                <m:rPr>
                  <m:sty m:val="i"/>
                </m:rPr>
                <m:t>a</m:t>
              </m:r>
            </m:den>
          </m:f>
        </m:oMath>
      </m:oMathPara>
      <w:r/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</w:r>
    </w:p>
    <w:p>
      <w:pPr>
        <w:ind w:left="0" w:firstLine="0"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Gdzie n = 1, 3, 5... będzie dla cosinusa, a n = 2, 4, 6... dla sinusa: </w:t>
      </w:r>
      <w:r>
        <w:rPr>
          <w:b w:val="0"/>
          <w:bCs w:val="0"/>
          <w:i w:val="0"/>
          <w:iCs w:val="0"/>
          <w:highlight w:val="none"/>
        </w:rPr>
      </w:r>
    </w:p>
    <w:p>
      <w:pPr>
        <w:ind w:left="0" w:firstLine="0"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</w:r>
      <w:r/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ψ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II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d>
            <m:dPr>
              <m:begChr m:val="{"/>
              <m:endChr m:val=""/>
              <m:ctrlPr>
                <w:rPr>
                  <w:rFonts w:hint="default" w:ascii="Cambria Math" w:hAnsi="Cambria Math" w:eastAsia="Cambria Math" w:cs="Cambria Math"/>
                  <w:i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hint="default" w:ascii="Cambria Math" w:hAnsi="Cambria Math" w:eastAsia="Cambria Math" w:cs="Cambria Math"/>
                      <w:i/>
                    </w:rPr>
                  </m:ctrlPr>
                </m:eqArrPr>
                <m: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Asi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kx</m:t>
                      </m:r>
                    </m:e>
                  </m:d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dla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n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=2,4,6...</m:t>
                  </m:r>
                </m:e>
                <m: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Bsi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kx</m:t>
                      </m:r>
                    </m:e>
                  </m:d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dla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n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=1,3,5...</m:t>
                  </m:r>
                </m:e>
              </m:eqArr>
            </m:e>
          </m:d>
        </m:oMath>
      </m:oMathPara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</w:r>
    </w:p>
    <w:p>
      <w:pPr>
        <w:ind w:left="0" w:firstLine="0"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Czynniki A i B normalizujemy tak, aby całkowite prawdopodobieństwo sumowało się do 1</w:t>
      </w:r>
      <w:r>
        <w:rPr>
          <w:b w:val="0"/>
          <w:bCs w:val="0"/>
          <w:i w:val="0"/>
          <w:iCs w:val="0"/>
          <w:highlight w:val="none"/>
        </w:rPr>
      </w:r>
      <m:oMath>
        <m:nary>
          <m:naryPr>
            <m:grow m:val="off"/>
            <m:limLoc m:val="undOvr"/>
            <m:ctrlPr>
              <w:rPr>
                <w:rFonts w:hint="default" w:ascii="Cambria Math" w:hAnsi="Cambria Math" w:eastAsia="Cambria Math" w:cs="Cambria Math"/>
                <w:b w:val="0"/>
                <w:bCs w:val="0"/>
                <w:i/>
                <w:iCs w:val="0"/>
                <w:highlight w:val="none"/>
              </w:rPr>
            </m:ctrlPr>
          </m:naryPr>
          <m:sub>
            <m:r>
              <w:rPr>
                <w:rFonts w:ascii="Cambria Math" w:hAnsi="Cambria Math" w:eastAsia="Cambria Math" w:cs="Cambria Math"/>
              </w:rPr>
              <m:rPr/>
              <m:t>-a/2</m:t>
            </m:r>
          </m:sub>
          <m:sup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a/2</m:t>
            </m:r>
          </m:sup>
          <m:e>
            <m:sSup>
              <m:sSupPr>
                <m:ctrlPr>
                  <w:rPr>
                    <w:rFonts w:hint="default" w:ascii="Cambria Math" w:hAnsi="Cambria Math" w:eastAsia="Cambria Math" w:cs="Cambria Math"/>
                    <w:i/>
                    <w:highlight w:val="none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|</m:t>
                </m:r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ψ</m:t>
                </m:r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|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2</m:t>
                </m:r>
              </m:sup>
            </m:sSup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dx</m:t>
            </m:r>
          </m:e>
        </m:nary>
      </m:oMath>
      <w:r>
        <w:rPr>
          <w:b w:val="0"/>
          <w:bCs w:val="0"/>
          <w:i w:val="0"/>
          <w:iCs w:val="0"/>
          <w:highlight w:val="none"/>
        </w:rPr>
        <w:t xml:space="preserve"> = 1. Czyli A = B = </w:t>
      </w:r>
      <m:oMath>
        <m:rad>
          <m:radPr>
            <m:degHide m:val="on"/>
            <m:ctrlPr>
              <w:rPr>
                <w:rFonts w:hint="default" w:ascii="Cambria Math" w:hAnsi="Cambria Math" w:eastAsia="Cambria Math" w:cs="Cambria Math"/>
                <w:b w:val="0"/>
                <w:bCs w:val="0"/>
                <w:i/>
                <w:iCs w:val="0"/>
                <w:highlight w:val="none"/>
              </w:rPr>
            </m:ctrlPr>
          </m:radPr>
          <m:deg>
            <m:r>
              <w:rPr>
                <w:rFonts w:ascii="Cambria Math" w:hAnsi="Cambria Math" w:eastAsia="Cambria Math" w:cs="Cambria Math"/>
                <w:highlight w:val="none"/>
              </w:rPr>
              <m:rPr>
                <m:sty m:val="p"/>
              </m:rPr>
              <m:t/>
            </m:r>
          </m:deg>
          <m:e>
            <m:f>
              <m:fPr>
                <m:ctrlPr>
                  <w:rPr>
                    <w:rFonts w:hint="default"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pl-PL" w:eastAsia="en-US" w:bidi="ar-SA"/>
                    <w14:ligatures w14:val="none"/>
                  </w:rPr>
                  <m:rPr>
                    <m:sty m:val="i"/>
                  </m:rPr>
                  <m:t>2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</w:rPr>
                  <m:rPr>
                    <m:sty m:val="i"/>
                  </m:rPr>
                  <m:t>a</m:t>
                </m:r>
              </m:den>
            </m:f>
          </m:e>
        </m:rad>
      </m:oMath>
      <w:r>
        <w:rPr>
          <w:b w:val="0"/>
          <w:bCs w:val="0"/>
          <w:i w:val="0"/>
          <w:iCs w:val="0"/>
          <w:highlight w:val="none"/>
        </w:rPr>
        <w:t xml:space="preserve">. Mamy więc tylko pewne dozwolone stany w których może się znajdować cząstka, a dokładniej:</w:t>
      </w: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ind w:left="0" w:firstLine="0"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</w:r>
      <w:r/>
      <m:oMath>
        <m:r>
          <w:rPr>
            <w:rFonts w:ascii="Cambria Math" w:hAnsi="Cambria Math" w:eastAsia="Cambria Math" w:cs="Cambria Math"/>
          </w:rPr>
          <m:rPr/>
          <m:t>k</m:t>
        </m:r>
        <m:r>
          <w:rPr>
            <w:rFonts w:ascii="Cambria Math" w:hAnsi="Cambria Math" w:eastAsia="Cambria Math" w:cs="Cambria Math"/>
          </w:rPr>
          <m:rPr/>
          <m:t>=</m:t>
        </m:r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  <w:iCs w:val="0"/>
                <w:highlight w:val="none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2"/>
                <w:szCs w:val="22"/>
                <w:highlight w:val="none"/>
                <w:u w:val="none"/>
                <w:vertAlign w:val="baseline"/>
                <w:lang w:val="pl-PL" w:eastAsia="en-US" w:bidi="ar-SA"/>
                <w14:ligatures w14:val="none"/>
              </w:rPr>
              <m:rPr>
                <m:sty m:val="i"/>
              </m:rPr>
              <m:t>n</m:t>
            </m:r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2"/>
                <w:szCs w:val="22"/>
                <w:highlight w:val="none"/>
                <w:u w:val="none"/>
                <w:vertAlign w:val="baseline"/>
                <w:lang w:val="pl-PL" w:eastAsia="en-US" w:bidi="ar-SA"/>
                <w14:ligatures w14:val="none"/>
              </w:rPr>
              <m:rPr>
                <m:sty m:val="i"/>
              </m:rPr>
              <m:t>π</m:t>
            </m:r>
          </m:num>
          <m:den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a</m:t>
            </m:r>
          </m:den>
        </m:f>
      </m:oMath>
      <w:r>
        <w:rPr>
          <w:b w:val="0"/>
          <w:bCs w:val="0"/>
          <w:i w:val="0"/>
          <w:highlight w:val="none"/>
        </w:rPr>
        <w:t xml:space="preserve"> oraz </w:t>
      </w:r>
      <w:r/>
      <m:oMath>
        <m:r>
          <w:rPr>
            <w:rFonts w:ascii="Cambria Math" w:hAnsi="Cambria Math" w:eastAsia="Cambria Math" w:cs="Cambria Math"/>
          </w:rPr>
          <m:rPr/>
          <m:t>k</m:t>
        </m:r>
        <m:r>
          <w:rPr>
            <w:rFonts w:ascii="Cambria Math" w:hAnsi="Cambria Math" w:eastAsia="Cambria Math" w:cs="Cambria Math"/>
          </w:rPr>
          <m:rPr/>
          <m:t>=</m:t>
        </m:r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  <w:iCs w:val="0"/>
                <w:highlight w:val="none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1</m:t>
            </m:r>
          </m:num>
          <m:den>
            <m:r>
              <m:rPr/>
              <m:t>ħ</m:t>
            </m:r>
          </m:den>
        </m:f>
        <m:rad>
          <m:radPr>
            <m:degHide m:val="on"/>
            <m:ctrlPr>
              <w:rPr>
                <w:rFonts w:ascii="Cambria Math" w:hAnsi="Cambria Math" w:eastAsia="Cambria Math" w:cs="Cambria Math"/>
                <w:i/>
                <w:highlight w:val="none"/>
              </w:rPr>
            </m:ctrlPr>
          </m:radPr>
          <m:deg>
            <m:r>
              <w:rPr>
                <w:rFonts w:ascii="Cambria Math" w:hAnsi="Cambria Math" w:eastAsia="Cambria Math" w:cs="Cambria Math"/>
              </w:rPr>
              <m:rPr/>
              <m:t/>
            </m:r>
          </m:deg>
          <m:e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2mE</m:t>
            </m:r>
          </m:e>
        </m:rad>
      </m:oMath>
      <w:r>
        <w:rPr>
          <w:b w:val="0"/>
          <w:bCs w:val="0"/>
          <w:i w:val="0"/>
          <w:iCs w:val="0"/>
          <w:highlight w:val="none"/>
        </w:rPr>
        <w:t xml:space="preserve"> </w:t>
      </w:r>
      <w:r>
        <w:rPr>
          <w:b w:val="0"/>
          <w:bCs w:val="0"/>
          <w:i w:val="0"/>
          <w:highlight w:val="none"/>
        </w:rPr>
        <w:t xml:space="preserve"> więc </w:t>
      </w:r>
      <m:oMath>
        <m:r>
          <w:rPr>
            <w:rFonts w:ascii="Cambria Math" w:hAnsi="Cambria Math" w:eastAsia="Cambria Math" w:cs="Cambria Math"/>
          </w:rPr>
          <m:rPr/>
          <m:t>E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p"/>
          </m:rPr>
          <m:t>n</m:t>
        </m:r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  <w:highlight w:val="none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pl-PL" w:eastAsia="en-US" w:bidi="ar-SA"/>
                    <w14:ligatures w14:val="none"/>
                  </w:rPr>
                  <m:rPr>
                    <m:sty m:val="p"/>
                  </m:rPr>
                  <m:t>π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</w:rPr>
                  <m:rPr>
                    <m:sty m:val="i"/>
                  </m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sSupPr>
              <m:e>
                <m:r>
                  <m:rPr/>
                  <m:t>ħ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</w:rPr>
                  <m:rPr>
                    <m:sty m:val="i"/>
                  </m:rPr>
                  <m:t>2</m:t>
                </m:r>
              </m:sup>
            </m:sSup>
          </m:num>
          <m:den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2"/>
                <w:szCs w:val="22"/>
                <w:highlight w:val="none"/>
                <w:u w:val="none"/>
                <w:vertAlign w:val="baseline"/>
                <w:lang w:val="pl-PL" w:eastAsia="en-US" w:bidi="ar-SA"/>
                <w14:ligatures w14:val="none"/>
              </w:rPr>
              <m:rPr>
                <m:sty m:val="p"/>
              </m:rPr>
              <m:t>2m</m:t>
            </m:r>
            <m:sSup>
              <m:sSup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pl-PL" w:eastAsia="en-US" w:bidi="ar-SA"/>
                    <w14:ligatures w14:val="none"/>
                  </w:rPr>
                  <m:rPr>
                    <m:sty m:val="i"/>
                  </m:rPr>
                  <m:t>a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</w:rPr>
                  <m:rPr>
                    <m:sty m:val="i"/>
                  </m:rPr>
                  <m:t>2</m:t>
                </m:r>
              </m:sup>
            </m:sSup>
          </m:den>
        </m:f>
      </m:oMath>
      <w:r>
        <w:rPr>
          <w:b w:val="0"/>
          <w:bCs w:val="0"/>
          <w:i w:val="0"/>
          <w:highlight w:val="none"/>
        </w:rPr>
        <w:t xml:space="preserve">. Energia cząstki może więc przyjmować tylko pewne dyskretne wartości.</w:t>
      </w:r>
      <w:r>
        <w:rPr>
          <w:b w:val="0"/>
          <w:bCs w:val="0"/>
          <w:i w:val="0"/>
          <w:highlight w:val="none"/>
        </w:rPr>
      </w:r>
    </w:p>
    <w:p>
      <w:pPr>
        <w:ind w:left="0" w:firstLine="0"/>
        <w:rPr>
          <w:b w:val="0"/>
          <w:bCs/>
          <w:i/>
          <w:highlight w:val="cyan"/>
        </w:rPr>
      </w:pPr>
      <w:r>
        <w:rPr>
          <w:b w:val="0"/>
          <w:bCs w:val="0"/>
          <w:i/>
          <w:iCs/>
          <w:highlight w:val="cyan"/>
        </w:rPr>
        <w:t xml:space="preserve">Wykres studni z suwakiem n</w:t>
      </w:r>
      <w:r>
        <w:rPr>
          <w:b w:val="0"/>
          <w:bCs w:val="0"/>
          <w:i/>
          <w:iCs/>
          <w:highlight w:val="cyan"/>
        </w:rPr>
      </w:r>
      <w:r>
        <w:rPr>
          <w:b w:val="0"/>
          <w:bCs w:val="0"/>
          <w:i/>
          <w:iCs/>
          <w:highlight w:val="cyan"/>
        </w:rPr>
      </w:r>
    </w:p>
    <w:p>
      <w:pPr>
        <w:ind w:left="0" w:firstLine="0"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</w:r>
    </w:p>
    <w:p>
      <w:pPr>
        <w:pStyle w:val="834"/>
        <w:numPr>
          <w:ilvl w:val="0"/>
          <w:numId w:val="1"/>
        </w:num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Skończona studnia</w:t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/>
          <w:i/>
          <w:highlight w:val="cyan"/>
        </w:rPr>
      </w:pPr>
      <w:r>
        <w:rPr>
          <w:b w:val="0"/>
          <w:bCs w:val="0"/>
          <w:i/>
          <w:iCs/>
          <w:highlight w:val="cyan"/>
        </w:rPr>
        <w:t xml:space="preserve">Wykres studni z suwakiem n</w:t>
      </w:r>
      <w:r>
        <w:rPr>
          <w:b w:val="0"/>
          <w:bCs/>
          <w:i/>
          <w:highlight w:val="cyan"/>
        </w:rPr>
      </w:r>
      <w:r>
        <w:rPr>
          <w:b w:val="0"/>
          <w:bCs/>
          <w:i/>
          <w:highlight w:val="cyan"/>
        </w:rPr>
      </w:r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34"/>
        <w:numPr>
          <w:ilvl w:val="0"/>
          <w:numId w:val="1"/>
        </w:num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Bariera potencjału</w:t>
      </w:r>
      <w:r>
        <w:rPr>
          <w:b w:val="0"/>
          <w:bCs w:val="0"/>
          <w:highlight w:val="none"/>
        </w:rPr>
      </w:r>
    </w:p>
    <w:p>
      <w:pPr>
        <w:pStyle w:val="834"/>
        <w:numPr>
          <w:ilvl w:val="0"/>
          <w:numId w:val="1"/>
        </w:num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Próg potencjału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2023-11-03T01:47:05Z</dcterms:modified>
</cp:coreProperties>
</file>