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0" w:sz="0" w:val="none"/>
        </w:pBdr>
        <w:shd w:fill="ffffff" w:val="clear"/>
        <w:spacing w:after="600" w:before="300" w:line="240" w:lineRule="auto"/>
        <w:rPr/>
      </w:pPr>
      <w:bookmarkStart w:colFirst="0" w:colLast="0" w:name="_7pyf2c6pnadm" w:id="0"/>
      <w:bookmarkEnd w:id="0"/>
      <w:r w:rsidDel="00000000" w:rsidR="00000000" w:rsidRPr="00000000">
        <w:rPr>
          <w:rFonts w:ascii="Oswald" w:cs="Oswald" w:eastAsia="Oswald" w:hAnsi="Oswald"/>
          <w:color w:val="004525"/>
          <w:sz w:val="46"/>
          <w:szCs w:val="46"/>
          <w:rtl w:val="0"/>
        </w:rPr>
        <w:t xml:space="preserve">WRITING RESOURCES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eTutor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95738" cy="2449239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449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Literature 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ITSC 2600 Literature Review Fall 2022.pdf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s://uncc.instructure.com/courses/182212/assignments/1590755" TargetMode="External"/><Relationship Id="rId8" Type="http://schemas.openxmlformats.org/officeDocument/2006/relationships/hyperlink" Target="https://uncc.instructure.com/courses/182212/files/18076954?wrap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