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466F07" w14:textId="3F29947A" w:rsidR="007070C0" w:rsidRPr="005B2AB4" w:rsidRDefault="007070C0" w:rsidP="007070C0">
      <w:pPr>
        <w:pStyle w:val="Title"/>
      </w:pPr>
      <w:r w:rsidRPr="005B2AB4">
        <w:t>CHAPTER FOURTEEN</w:t>
      </w:r>
      <w:r>
        <w:t>:</w:t>
      </w:r>
    </w:p>
    <w:p w14:paraId="03CE6C73" w14:textId="3931E590" w:rsidR="007070C0" w:rsidRPr="007070C0" w:rsidRDefault="007070C0" w:rsidP="007070C0">
      <w:pPr>
        <w:pStyle w:val="Title"/>
      </w:pPr>
      <w:r w:rsidRPr="00C12913">
        <w:t>ARTISTIC INNOVATIONS IN FIFTEENTH-CENTURY NORTHERN EUROPE</w:t>
      </w:r>
    </w:p>
    <w:p w14:paraId="62F26D43" w14:textId="6D734C49" w:rsidR="007070C0" w:rsidRPr="007070C0" w:rsidRDefault="007070C0" w:rsidP="007070C0">
      <w:pPr>
        <w:autoSpaceDE w:val="0"/>
        <w:autoSpaceDN w:val="0"/>
        <w:adjustRightInd w:val="0"/>
      </w:pPr>
      <w:r w:rsidRPr="007070C0">
        <w:rPr>
          <w:rStyle w:val="Heading1Char"/>
        </w:rPr>
        <w:t>Courtly Art: The International Gothic</w:t>
      </w:r>
      <w:r w:rsidRPr="004776FF">
        <w:rPr>
          <w:b/>
        </w:rPr>
        <w:br/>
      </w:r>
      <w:r w:rsidRPr="007070C0">
        <w:rPr>
          <w:rStyle w:val="SubtitleChar"/>
        </w:rPr>
        <w:t>Key Images</w:t>
      </w:r>
      <w:r w:rsidRPr="004776FF">
        <w:br/>
        <w:t xml:space="preserve">Claus </w:t>
      </w:r>
      <w:proofErr w:type="spellStart"/>
      <w:r w:rsidRPr="004776FF">
        <w:t>Sluter</w:t>
      </w:r>
      <w:proofErr w:type="spellEnd"/>
      <w:r w:rsidRPr="004776FF">
        <w:t xml:space="preserve">, </w:t>
      </w:r>
      <w:r w:rsidRPr="004776FF">
        <w:rPr>
          <w:i/>
        </w:rPr>
        <w:t>The Well of Moses</w:t>
      </w:r>
      <w:r w:rsidRPr="004776FF">
        <w:t>, p. 471, 14.1</w:t>
      </w:r>
      <w:r w:rsidRPr="004776FF">
        <w:br/>
        <w:t xml:space="preserve">Melchior </w:t>
      </w:r>
      <w:proofErr w:type="spellStart"/>
      <w:r w:rsidRPr="004776FF">
        <w:t>Broederlam</w:t>
      </w:r>
      <w:proofErr w:type="spellEnd"/>
      <w:r w:rsidRPr="004776FF">
        <w:t xml:space="preserve">, </w:t>
      </w:r>
      <w:r w:rsidRPr="004776FF">
        <w:rPr>
          <w:i/>
        </w:rPr>
        <w:t>Infancy of Christ</w:t>
      </w:r>
      <w:r w:rsidRPr="004776FF">
        <w:t xml:space="preserve"> panels, wings of the altarpiece of the Chartreuse de </w:t>
      </w:r>
      <w:proofErr w:type="spellStart"/>
      <w:r w:rsidRPr="004776FF">
        <w:t>Champmol</w:t>
      </w:r>
      <w:proofErr w:type="spellEnd"/>
      <w:r w:rsidRPr="004776FF">
        <w:t>, p. 472, 14.2</w:t>
      </w:r>
      <w:r w:rsidRPr="004776FF">
        <w:br/>
        <w:t xml:space="preserve">Limbourg Brothers, January page, </w:t>
      </w:r>
      <w:r w:rsidRPr="004776FF">
        <w:rPr>
          <w:i/>
        </w:rPr>
        <w:t xml:space="preserve">Les </w:t>
      </w:r>
      <w:proofErr w:type="spellStart"/>
      <w:r w:rsidRPr="004776FF">
        <w:rPr>
          <w:i/>
        </w:rPr>
        <w:t>Très</w:t>
      </w:r>
      <w:proofErr w:type="spellEnd"/>
      <w:r w:rsidRPr="004776FF">
        <w:rPr>
          <w:i/>
        </w:rPr>
        <w:t xml:space="preserve"> Riches </w:t>
      </w:r>
      <w:proofErr w:type="spellStart"/>
      <w:r w:rsidRPr="004776FF">
        <w:rPr>
          <w:i/>
        </w:rPr>
        <w:t>Heures</w:t>
      </w:r>
      <w:proofErr w:type="spellEnd"/>
      <w:r w:rsidRPr="004776FF">
        <w:rPr>
          <w:i/>
        </w:rPr>
        <w:t xml:space="preserve"> du Duc de Berry</w:t>
      </w:r>
      <w:r w:rsidRPr="004776FF">
        <w:t>, p. 473, 14.3</w:t>
      </w:r>
      <w:r w:rsidRPr="004776FF">
        <w:br/>
        <w:t xml:space="preserve">Limbourg Brothers, July page, </w:t>
      </w:r>
      <w:r w:rsidRPr="004776FF">
        <w:rPr>
          <w:i/>
        </w:rPr>
        <w:t xml:space="preserve">Les </w:t>
      </w:r>
      <w:proofErr w:type="spellStart"/>
      <w:r w:rsidRPr="004776FF">
        <w:rPr>
          <w:i/>
        </w:rPr>
        <w:t>Très</w:t>
      </w:r>
      <w:proofErr w:type="spellEnd"/>
      <w:r w:rsidRPr="004776FF">
        <w:rPr>
          <w:i/>
        </w:rPr>
        <w:t xml:space="preserve"> Riches </w:t>
      </w:r>
      <w:proofErr w:type="spellStart"/>
      <w:r w:rsidRPr="004776FF">
        <w:rPr>
          <w:i/>
        </w:rPr>
        <w:t>Heures</w:t>
      </w:r>
      <w:proofErr w:type="spellEnd"/>
      <w:r w:rsidRPr="004776FF">
        <w:rPr>
          <w:i/>
        </w:rPr>
        <w:t xml:space="preserve"> du Duc de Berry</w:t>
      </w:r>
      <w:r w:rsidRPr="004776FF">
        <w:t>, p. 474, 14.4</w:t>
      </w:r>
      <w:r w:rsidRPr="004776FF">
        <w:br/>
        <w:t xml:space="preserve">Master Theodoric, </w:t>
      </w:r>
      <w:r w:rsidRPr="004776FF">
        <w:rPr>
          <w:i/>
        </w:rPr>
        <w:t>Saint Matthew and the Angel</w:t>
      </w:r>
      <w:r w:rsidRPr="004776FF">
        <w:t>, p. 475, 14.5</w:t>
      </w:r>
      <w:r w:rsidRPr="004776FF">
        <w:br/>
      </w:r>
      <w:r w:rsidRPr="004776FF">
        <w:rPr>
          <w:i/>
        </w:rPr>
        <w:t>The Wilton Diptych</w:t>
      </w:r>
      <w:r w:rsidRPr="004776FF">
        <w:t>, p. 476, 14.6</w:t>
      </w:r>
      <w:r w:rsidRPr="004776FF">
        <w:br/>
      </w:r>
      <w:r w:rsidRPr="007070C0">
        <w:rPr>
          <w:rStyle w:val="Heading1Char"/>
        </w:rPr>
        <w:t>Urban Centers and the New Art</w:t>
      </w:r>
      <w:r w:rsidRPr="004776FF">
        <w:rPr>
          <w:b/>
        </w:rPr>
        <w:br/>
      </w:r>
      <w:r w:rsidRPr="007070C0">
        <w:rPr>
          <w:rStyle w:val="SubtitleChar"/>
        </w:rPr>
        <w:t>Key Images</w:t>
      </w:r>
    </w:p>
    <w:p w14:paraId="1BA2DBAF" w14:textId="74DB1AF6" w:rsidR="007070C0" w:rsidRPr="004776FF" w:rsidRDefault="007070C0" w:rsidP="007070C0">
      <w:pPr>
        <w:autoSpaceDE w:val="0"/>
        <w:autoSpaceDN w:val="0"/>
        <w:adjustRightInd w:val="0"/>
        <w:rPr>
          <w:sz w:val="17"/>
          <w:szCs w:val="17"/>
        </w:rPr>
      </w:pPr>
      <w:r w:rsidRPr="004776FF">
        <w:t>Façade of Bruges Town Hall, p. 477, 14.7</w:t>
      </w:r>
      <w:r w:rsidRPr="004776FF">
        <w:br/>
        <w:t xml:space="preserve">Robert </w:t>
      </w:r>
      <w:proofErr w:type="spellStart"/>
      <w:r w:rsidRPr="004776FF">
        <w:t>Campin</w:t>
      </w:r>
      <w:proofErr w:type="spellEnd"/>
      <w:r w:rsidRPr="004776FF">
        <w:t xml:space="preserve"> and workshop, </w:t>
      </w:r>
      <w:proofErr w:type="spellStart"/>
      <w:r w:rsidRPr="004776FF">
        <w:rPr>
          <w:i/>
        </w:rPr>
        <w:t>Mérode</w:t>
      </w:r>
      <w:proofErr w:type="spellEnd"/>
      <w:r w:rsidRPr="004776FF">
        <w:rPr>
          <w:i/>
        </w:rPr>
        <w:t xml:space="preserve"> Triptych</w:t>
      </w:r>
      <w:r w:rsidRPr="004776FF">
        <w:t>, p. 478, 14.8</w:t>
      </w:r>
      <w:r w:rsidRPr="004776FF">
        <w:br/>
        <w:t xml:space="preserve">Hubert and Jan van Eyck, </w:t>
      </w:r>
      <w:r w:rsidRPr="004776FF">
        <w:rPr>
          <w:i/>
        </w:rPr>
        <w:t xml:space="preserve">Ghent Altarpiece </w:t>
      </w:r>
      <w:r w:rsidRPr="004776FF">
        <w:t>(closed), p. 480, 14.9</w:t>
      </w:r>
      <w:r w:rsidRPr="004776FF">
        <w:br/>
        <w:t xml:space="preserve">Hubert and Jan van Eyck, </w:t>
      </w:r>
      <w:r w:rsidRPr="004776FF">
        <w:rPr>
          <w:i/>
        </w:rPr>
        <w:t>Ghent Altarpiece</w:t>
      </w:r>
      <w:r w:rsidRPr="004776FF">
        <w:t xml:space="preserve"> (open), p. 481, 14.10</w:t>
      </w:r>
      <w:r w:rsidRPr="004776FF">
        <w:br/>
        <w:t xml:space="preserve">Hubert and Jan van Eyck, </w:t>
      </w:r>
      <w:r w:rsidRPr="004776FF">
        <w:rPr>
          <w:i/>
        </w:rPr>
        <w:t>Adam and Eve</w:t>
      </w:r>
      <w:r w:rsidRPr="004776FF">
        <w:t xml:space="preserve">, detail of </w:t>
      </w:r>
      <w:r w:rsidRPr="004776FF">
        <w:rPr>
          <w:i/>
        </w:rPr>
        <w:t>Ghent Altarpiece</w:t>
      </w:r>
      <w:r w:rsidRPr="004776FF">
        <w:t>, p. 482, 14.11</w:t>
      </w:r>
      <w:r w:rsidRPr="004776FF">
        <w:br/>
        <w:t xml:space="preserve">Painting of </w:t>
      </w:r>
      <w:r w:rsidRPr="004776FF">
        <w:rPr>
          <w:i/>
        </w:rPr>
        <w:t>Ghent Altarpiece</w:t>
      </w:r>
      <w:r w:rsidRPr="004776FF">
        <w:t xml:space="preserve"> in chapel, p. 482, 14.12</w:t>
      </w:r>
      <w:r w:rsidRPr="004776FF">
        <w:br/>
        <w:t xml:space="preserve">Jan van Eyck, </w:t>
      </w:r>
      <w:r w:rsidRPr="004776FF">
        <w:rPr>
          <w:i/>
        </w:rPr>
        <w:t>Man in a Red Turban</w:t>
      </w:r>
      <w:r w:rsidRPr="004776FF">
        <w:t xml:space="preserve"> </w:t>
      </w:r>
      <w:r w:rsidRPr="004776FF">
        <w:rPr>
          <w:i/>
        </w:rPr>
        <w:t>(Self-portrait?)</w:t>
      </w:r>
      <w:r w:rsidRPr="004776FF">
        <w:t>, p. 483, 14.13</w:t>
      </w:r>
      <w:r>
        <w:rPr>
          <w:sz w:val="17"/>
          <w:szCs w:val="17"/>
        </w:rPr>
        <w:br/>
      </w:r>
      <w:r w:rsidRPr="004776FF">
        <w:t xml:space="preserve">Jan van Eyck, </w:t>
      </w:r>
      <w:r w:rsidRPr="004776FF">
        <w:rPr>
          <w:i/>
        </w:rPr>
        <w:t>The ″Arnolfini Portrait,″</w:t>
      </w:r>
      <w:r w:rsidRPr="004776FF">
        <w:t xml:space="preserve"> p. 484, 14.14</w:t>
      </w:r>
      <w:r w:rsidRPr="004776FF">
        <w:br/>
      </w:r>
      <w:proofErr w:type="spellStart"/>
      <w:r w:rsidRPr="004776FF">
        <w:t>Rogier</w:t>
      </w:r>
      <w:proofErr w:type="spellEnd"/>
      <w:r w:rsidRPr="004776FF">
        <w:t xml:space="preserve"> van der Weyden, </w:t>
      </w:r>
      <w:r w:rsidRPr="004776FF">
        <w:rPr>
          <w:i/>
        </w:rPr>
        <w:t>Descent from the Cross</w:t>
      </w:r>
      <w:r w:rsidRPr="004776FF">
        <w:t>, p, 486, 14.15</w:t>
      </w:r>
      <w:r w:rsidRPr="004776FF">
        <w:br/>
      </w:r>
      <w:proofErr w:type="spellStart"/>
      <w:r w:rsidRPr="004776FF">
        <w:t>Rogier</w:t>
      </w:r>
      <w:proofErr w:type="spellEnd"/>
      <w:r w:rsidRPr="004776FF">
        <w:t xml:space="preserve"> van der Weyden, </w:t>
      </w:r>
      <w:r w:rsidRPr="004776FF">
        <w:rPr>
          <w:i/>
        </w:rPr>
        <w:t>Saint Luke Drawing the Virgin</w:t>
      </w:r>
      <w:r w:rsidRPr="004776FF">
        <w:t>, p. 487, 14.16</w:t>
      </w:r>
    </w:p>
    <w:p w14:paraId="51D27E23" w14:textId="6E3DD74F" w:rsidR="007070C0" w:rsidRPr="004776FF" w:rsidRDefault="007070C0" w:rsidP="007070C0">
      <w:pPr>
        <w:autoSpaceDE w:val="0"/>
        <w:autoSpaceDN w:val="0"/>
        <w:adjustRightInd w:val="0"/>
        <w:rPr>
          <w:sz w:val="17"/>
          <w:szCs w:val="17"/>
        </w:rPr>
      </w:pPr>
      <w:r w:rsidRPr="007070C0">
        <w:rPr>
          <w:rStyle w:val="Heading1Char"/>
        </w:rPr>
        <w:t>Late Fifteenth-Century Art in the Netherlands</w:t>
      </w:r>
      <w:r w:rsidRPr="004776FF">
        <w:rPr>
          <w:b/>
        </w:rPr>
        <w:br/>
      </w:r>
      <w:r w:rsidRPr="007070C0">
        <w:rPr>
          <w:rStyle w:val="SubtitleChar"/>
        </w:rPr>
        <w:t>Key Images</w:t>
      </w:r>
    </w:p>
    <w:p w14:paraId="6A637705" w14:textId="1276AFAA" w:rsidR="007070C0" w:rsidRPr="007070C0" w:rsidRDefault="007070C0" w:rsidP="007070C0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</w:pPr>
      <w:r w:rsidRPr="004776FF">
        <w:t xml:space="preserve">Gerard </w:t>
      </w:r>
      <w:proofErr w:type="spellStart"/>
      <w:r w:rsidRPr="004776FF">
        <w:t>Loyet</w:t>
      </w:r>
      <w:proofErr w:type="spellEnd"/>
      <w:r w:rsidRPr="004776FF">
        <w:t xml:space="preserve">, </w:t>
      </w:r>
      <w:r w:rsidRPr="004776FF">
        <w:rPr>
          <w:i/>
        </w:rPr>
        <w:t>Statuette of Charles the Bold</w:t>
      </w:r>
      <w:r w:rsidRPr="004776FF">
        <w:t>, p. 488, 14.17</w:t>
      </w:r>
      <w:r w:rsidRPr="004776FF">
        <w:br/>
        <w:t xml:space="preserve">Mary of Burgundy Painter, page with </w:t>
      </w:r>
      <w:r w:rsidRPr="004776FF">
        <w:rPr>
          <w:i/>
        </w:rPr>
        <w:t>Mary at Her Devotions</w:t>
      </w:r>
      <w:r w:rsidRPr="004776FF">
        <w:t xml:space="preserve">, from the </w:t>
      </w:r>
      <w:r w:rsidRPr="004776FF">
        <w:rPr>
          <w:i/>
        </w:rPr>
        <w:t>Hours of Mary of Burgundy</w:t>
      </w:r>
      <w:r w:rsidRPr="004776FF">
        <w:t>, p. 489, 14.18</w:t>
      </w:r>
      <w:r w:rsidRPr="004776FF">
        <w:br/>
      </w:r>
      <w:r w:rsidRPr="004776FF">
        <w:rPr>
          <w:i/>
        </w:rPr>
        <w:t>Penelope Weaving (Penelope at Her Loom)</w:t>
      </w:r>
      <w:r w:rsidRPr="004776FF">
        <w:t>, p. 490, 14.19</w:t>
      </w:r>
      <w:r w:rsidRPr="004776FF">
        <w:br/>
        <w:t xml:space="preserve">Hugo van der Goes, </w:t>
      </w:r>
      <w:r w:rsidRPr="004776FF">
        <w:rPr>
          <w:i/>
        </w:rPr>
        <w:t xml:space="preserve">The Portinari Altarpiece </w:t>
      </w:r>
      <w:r w:rsidRPr="004776FF">
        <w:t>(open), p. 490, 14.20</w:t>
      </w:r>
      <w:r w:rsidRPr="004776FF">
        <w:br/>
        <w:t xml:space="preserve">Hans Memling, </w:t>
      </w:r>
      <w:r w:rsidRPr="004776FF">
        <w:rPr>
          <w:i/>
        </w:rPr>
        <w:t>Madonna and Child</w:t>
      </w:r>
      <w:r w:rsidRPr="004776FF">
        <w:t>, p. 491, 14.21</w:t>
      </w:r>
      <w:r w:rsidRPr="004776FF">
        <w:br/>
      </w:r>
      <w:proofErr w:type="spellStart"/>
      <w:r w:rsidRPr="004776FF">
        <w:t>Hieronymous</w:t>
      </w:r>
      <w:proofErr w:type="spellEnd"/>
      <w:r w:rsidRPr="004776FF">
        <w:t xml:space="preserve"> Bosch, </w:t>
      </w:r>
      <w:r w:rsidRPr="004776FF">
        <w:rPr>
          <w:i/>
        </w:rPr>
        <w:t>The Garden of Earthly Delights</w:t>
      </w:r>
      <w:r w:rsidRPr="004776FF">
        <w:t>, p. 492, 14.22</w:t>
      </w:r>
      <w:r w:rsidRPr="004776FF">
        <w:br/>
      </w:r>
      <w:proofErr w:type="spellStart"/>
      <w:r w:rsidRPr="004776FF">
        <w:t>Hieronymous</w:t>
      </w:r>
      <w:proofErr w:type="spellEnd"/>
      <w:r w:rsidRPr="004776FF">
        <w:t xml:space="preserve"> Bosch, </w:t>
      </w:r>
      <w:r w:rsidRPr="004776FF">
        <w:rPr>
          <w:i/>
        </w:rPr>
        <w:t>The Garden of Earthly Delights</w:t>
      </w:r>
      <w:r w:rsidRPr="004776FF">
        <w:t>, (outer wings closed), p. 492, 14.22</w:t>
      </w:r>
      <w:r w:rsidRPr="004776FF">
        <w:br/>
      </w:r>
    </w:p>
    <w:p w14:paraId="04D9F3C1" w14:textId="042A95D9" w:rsidR="007070C0" w:rsidRPr="004776FF" w:rsidRDefault="007070C0" w:rsidP="007070C0">
      <w:pPr>
        <w:autoSpaceDE w:val="0"/>
        <w:autoSpaceDN w:val="0"/>
        <w:adjustRightInd w:val="0"/>
        <w:rPr>
          <w:sz w:val="17"/>
          <w:szCs w:val="17"/>
        </w:rPr>
      </w:pPr>
      <w:r w:rsidRPr="007070C0">
        <w:rPr>
          <w:rStyle w:val="Heading1Char"/>
        </w:rPr>
        <w:lastRenderedPageBreak/>
        <w:t>Regional Responses to the Early Netherlandish Style</w:t>
      </w:r>
      <w:r w:rsidRPr="004776FF">
        <w:br/>
      </w:r>
      <w:r w:rsidRPr="007070C0">
        <w:rPr>
          <w:rStyle w:val="SubtitleChar"/>
        </w:rPr>
        <w:t>Key Images</w:t>
      </w:r>
    </w:p>
    <w:p w14:paraId="12C4BD77" w14:textId="5CDC22A9" w:rsidR="007070C0" w:rsidRPr="007070C0" w:rsidRDefault="007070C0" w:rsidP="007070C0">
      <w:pPr>
        <w:autoSpaceDE w:val="0"/>
        <w:autoSpaceDN w:val="0"/>
        <w:adjustRightInd w:val="0"/>
      </w:pPr>
      <w:r w:rsidRPr="004776FF">
        <w:t xml:space="preserve">Jean Fouquet, </w:t>
      </w:r>
      <w:r w:rsidRPr="004776FF">
        <w:rPr>
          <w:i/>
        </w:rPr>
        <w:t>Étienne Chevalier and St. Stephen</w:t>
      </w:r>
      <w:r w:rsidRPr="004776FF">
        <w:t xml:space="preserve">, left wing of the </w:t>
      </w:r>
      <w:r w:rsidRPr="004776FF">
        <w:rPr>
          <w:i/>
        </w:rPr>
        <w:t>Melun Diptych</w:t>
      </w:r>
      <w:r w:rsidRPr="004776FF">
        <w:t>, p. 495, 14.24</w:t>
      </w:r>
      <w:r w:rsidRPr="004776FF">
        <w:br/>
        <w:t xml:space="preserve">Jean Fouquet, </w:t>
      </w:r>
      <w:r w:rsidRPr="004776FF">
        <w:rPr>
          <w:i/>
        </w:rPr>
        <w:t>Madonna and Child</w:t>
      </w:r>
      <w:r w:rsidRPr="004776FF">
        <w:t xml:space="preserve">, right wing of the </w:t>
      </w:r>
      <w:r w:rsidRPr="004776FF">
        <w:rPr>
          <w:i/>
        </w:rPr>
        <w:t>Melun Diptych</w:t>
      </w:r>
      <w:r w:rsidRPr="004776FF">
        <w:t>, p. 495, 14.25</w:t>
      </w:r>
      <w:r w:rsidRPr="004776FF">
        <w:br/>
        <w:t xml:space="preserve">Bartolomé Bermejo, </w:t>
      </w:r>
      <w:r w:rsidRPr="004776FF">
        <w:rPr>
          <w:i/>
        </w:rPr>
        <w:t>Pietà</w:t>
      </w:r>
      <w:r w:rsidRPr="004776FF">
        <w:t>, p. 496, 14.26</w:t>
      </w:r>
      <w:r w:rsidRPr="004776FF">
        <w:br/>
        <w:t xml:space="preserve">Conrad </w:t>
      </w:r>
      <w:proofErr w:type="spellStart"/>
      <w:r w:rsidRPr="004776FF">
        <w:t>Witz</w:t>
      </w:r>
      <w:proofErr w:type="spellEnd"/>
      <w:r w:rsidRPr="004776FF">
        <w:t xml:space="preserve">, </w:t>
      </w:r>
      <w:r w:rsidRPr="004776FF">
        <w:rPr>
          <w:i/>
        </w:rPr>
        <w:t>The Miraculous Draught of Fishes</w:t>
      </w:r>
      <w:r w:rsidRPr="004776FF">
        <w:t>, p. 497, 14.27</w:t>
      </w:r>
      <w:r w:rsidRPr="004776FF">
        <w:br/>
        <w:t xml:space="preserve">Michael Pacher, </w:t>
      </w:r>
      <w:r w:rsidRPr="004776FF">
        <w:rPr>
          <w:i/>
        </w:rPr>
        <w:t>St. Wolfgang Altarpiece</w:t>
      </w:r>
      <w:r w:rsidRPr="004776FF">
        <w:t>, p. 498, 14.28</w:t>
      </w:r>
    </w:p>
    <w:p w14:paraId="20A52844" w14:textId="459E16C3" w:rsidR="007070C0" w:rsidRPr="004776FF" w:rsidRDefault="007070C0" w:rsidP="007070C0">
      <w:pPr>
        <w:autoSpaceDE w:val="0"/>
        <w:autoSpaceDN w:val="0"/>
        <w:adjustRightInd w:val="0"/>
        <w:rPr>
          <w:b/>
        </w:rPr>
      </w:pPr>
      <w:r w:rsidRPr="007070C0">
        <w:rPr>
          <w:rStyle w:val="Heading1Char"/>
        </w:rPr>
        <w:t>Printing and the Graphic Arts</w:t>
      </w:r>
      <w:r w:rsidRPr="004776FF">
        <w:br/>
      </w:r>
      <w:r w:rsidRPr="007070C0">
        <w:rPr>
          <w:rStyle w:val="SubtitleChar"/>
        </w:rPr>
        <w:t>Key Images</w:t>
      </w:r>
    </w:p>
    <w:p w14:paraId="7B068EB8" w14:textId="4A40859A" w:rsidR="007070C0" w:rsidRDefault="007070C0" w:rsidP="007070C0">
      <w:pPr>
        <w:autoSpaceDE w:val="0"/>
        <w:autoSpaceDN w:val="0"/>
        <w:adjustRightInd w:val="0"/>
      </w:pPr>
      <w:proofErr w:type="spellStart"/>
      <w:r w:rsidRPr="004776FF">
        <w:rPr>
          <w:i/>
        </w:rPr>
        <w:t>Buxheim</w:t>
      </w:r>
      <w:proofErr w:type="spellEnd"/>
      <w:r w:rsidRPr="004776FF">
        <w:rPr>
          <w:i/>
        </w:rPr>
        <w:t xml:space="preserve"> St. Christopher</w:t>
      </w:r>
      <w:r w:rsidRPr="004776FF">
        <w:t>, p. 500, 14.29</w:t>
      </w:r>
      <w:r w:rsidRPr="004776FF">
        <w:br/>
        <w:t xml:space="preserve">Jacques </w:t>
      </w:r>
      <w:proofErr w:type="spellStart"/>
      <w:r w:rsidRPr="004776FF">
        <w:t>Daret</w:t>
      </w:r>
      <w:proofErr w:type="spellEnd"/>
      <w:r w:rsidRPr="004776FF">
        <w:t xml:space="preserve">, woodcut of St. Christopher, </w:t>
      </w:r>
      <w:r w:rsidRPr="004776FF">
        <w:rPr>
          <w:i/>
        </w:rPr>
        <w:t xml:space="preserve">Annunciation </w:t>
      </w:r>
      <w:r w:rsidRPr="004776FF">
        <w:t>(detail), p. 501, 14.30</w:t>
      </w:r>
      <w:r w:rsidRPr="004776FF">
        <w:br/>
        <w:t>Martin Schongauer</w:t>
      </w:r>
      <w:r w:rsidRPr="004776FF">
        <w:rPr>
          <w:i/>
        </w:rPr>
        <w:t>, The Temptation of St. Anthony</w:t>
      </w:r>
      <w:r w:rsidRPr="004776FF">
        <w:t>, p. 502, 14.31</w:t>
      </w:r>
      <w:r w:rsidRPr="004776FF">
        <w:br/>
      </w:r>
      <w:r w:rsidRPr="004776FF">
        <w:rPr>
          <w:i/>
        </w:rPr>
        <w:t>Scholar in Study</w:t>
      </w:r>
      <w:r w:rsidRPr="004776FF">
        <w:t xml:space="preserve">, woodcut from Sebastian Brant’s </w:t>
      </w:r>
      <w:r w:rsidRPr="004776FF">
        <w:rPr>
          <w:i/>
        </w:rPr>
        <w:t>Ship of Fools</w:t>
      </w:r>
      <w:r w:rsidRPr="004776FF">
        <w:t>, p. 502, 14.32</w:t>
      </w:r>
    </w:p>
    <w:p w14:paraId="6244FA37" w14:textId="06CD946A" w:rsidR="007070C0" w:rsidRDefault="007070C0" w:rsidP="007070C0">
      <w:pPr>
        <w:pStyle w:val="Heading1"/>
      </w:pPr>
      <w:r w:rsidRPr="007070C0">
        <w:t>Key Terms/Places/Names</w:t>
      </w:r>
    </w:p>
    <w:p w14:paraId="68D1E673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atmospheric perspective</w:t>
      </w:r>
    </w:p>
    <w:p w14:paraId="5782BB98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block books</w:t>
      </w:r>
    </w:p>
    <w:p w14:paraId="4D638CAF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burin</w:t>
      </w:r>
    </w:p>
    <w:p w14:paraId="7F1906F0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diptych</w:t>
      </w:r>
    </w:p>
    <w:p w14:paraId="7E2C1E91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engraving</w:t>
      </w:r>
    </w:p>
    <w:p w14:paraId="7D9DAAC4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glazes</w:t>
      </w:r>
    </w:p>
    <w:p w14:paraId="24AD186B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grisaille</w:t>
      </w:r>
    </w:p>
    <w:p w14:paraId="1F8E740D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guilds</w:t>
      </w:r>
    </w:p>
    <w:p w14:paraId="3706CC86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hatching</w:t>
      </w:r>
    </w:p>
    <w:p w14:paraId="1AE0F431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impasto</w:t>
      </w:r>
    </w:p>
    <w:p w14:paraId="4304C887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infrared light</w:t>
      </w:r>
    </w:p>
    <w:p w14:paraId="298DBCE2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infrared reflectography</w:t>
      </w:r>
    </w:p>
    <w:p w14:paraId="3D93FBC6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intaglio</w:t>
      </w:r>
    </w:p>
    <w:p w14:paraId="712EB451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 xml:space="preserve">millefleurs </w:t>
      </w:r>
    </w:p>
    <w:p w14:paraId="27C87C04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relief</w:t>
      </w:r>
    </w:p>
    <w:p w14:paraId="514A7134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silverpoint</w:t>
      </w:r>
    </w:p>
    <w:p w14:paraId="2FE5CA3C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triptych</w:t>
      </w:r>
    </w:p>
    <w:p w14:paraId="1D8C1A51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woodcut</w:t>
      </w:r>
    </w:p>
    <w:p w14:paraId="22DA69F2" w14:textId="77777777" w:rsidR="00D96F40" w:rsidRDefault="00D96F40" w:rsidP="00A22E95">
      <w:pPr>
        <w:pStyle w:val="ListParagraph"/>
        <w:numPr>
          <w:ilvl w:val="0"/>
          <w:numId w:val="1"/>
        </w:numPr>
      </w:pPr>
      <w:r>
        <w:t>woodcuts</w:t>
      </w:r>
    </w:p>
    <w:p w14:paraId="75A1084E" w14:textId="356C9CB7" w:rsidR="00F84F2D" w:rsidRPr="00F84F2D" w:rsidRDefault="00D96F40" w:rsidP="00A22E95">
      <w:pPr>
        <w:pStyle w:val="ListParagraph"/>
        <w:numPr>
          <w:ilvl w:val="0"/>
          <w:numId w:val="1"/>
        </w:numPr>
      </w:pPr>
      <w:r>
        <w:t>X-radiographic</w:t>
      </w:r>
      <w:bookmarkStart w:id="0" w:name="_GoBack"/>
      <w:bookmarkEnd w:id="0"/>
    </w:p>
    <w:sectPr w:rsidR="00F84F2D" w:rsidRPr="00F84F2D" w:rsidSect="00F84C00">
      <w:pgSz w:w="12240" w:h="15840"/>
      <w:pgMar w:top="1440" w:right="1800" w:bottom="1440" w:left="1800" w:header="720" w:footer="720" w:gutter="0"/>
      <w:pgNumType w:start="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AF263F"/>
    <w:multiLevelType w:val="hybridMultilevel"/>
    <w:tmpl w:val="16A2B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0F4"/>
    <w:rsid w:val="00037A94"/>
    <w:rsid w:val="000A52BA"/>
    <w:rsid w:val="00100C63"/>
    <w:rsid w:val="00115BBB"/>
    <w:rsid w:val="00137603"/>
    <w:rsid w:val="00180445"/>
    <w:rsid w:val="001C18BE"/>
    <w:rsid w:val="001D48A1"/>
    <w:rsid w:val="001D5989"/>
    <w:rsid w:val="0022276A"/>
    <w:rsid w:val="00277CE9"/>
    <w:rsid w:val="002D1A83"/>
    <w:rsid w:val="00315A3B"/>
    <w:rsid w:val="00320727"/>
    <w:rsid w:val="00325714"/>
    <w:rsid w:val="0039142C"/>
    <w:rsid w:val="003C659E"/>
    <w:rsid w:val="00412E33"/>
    <w:rsid w:val="00420048"/>
    <w:rsid w:val="00433A91"/>
    <w:rsid w:val="00453344"/>
    <w:rsid w:val="00485842"/>
    <w:rsid w:val="004D6372"/>
    <w:rsid w:val="004D7A23"/>
    <w:rsid w:val="004E1F9B"/>
    <w:rsid w:val="004F2F84"/>
    <w:rsid w:val="00515EF4"/>
    <w:rsid w:val="00525BB9"/>
    <w:rsid w:val="00566D72"/>
    <w:rsid w:val="005E731A"/>
    <w:rsid w:val="00606DB2"/>
    <w:rsid w:val="006160F4"/>
    <w:rsid w:val="006173FD"/>
    <w:rsid w:val="006552B1"/>
    <w:rsid w:val="006839A1"/>
    <w:rsid w:val="00692425"/>
    <w:rsid w:val="006C132A"/>
    <w:rsid w:val="006E442C"/>
    <w:rsid w:val="006F01C1"/>
    <w:rsid w:val="0070482D"/>
    <w:rsid w:val="007070C0"/>
    <w:rsid w:val="00746BF8"/>
    <w:rsid w:val="00765204"/>
    <w:rsid w:val="00790F6F"/>
    <w:rsid w:val="00793CA5"/>
    <w:rsid w:val="007C71C9"/>
    <w:rsid w:val="007F7421"/>
    <w:rsid w:val="0082040A"/>
    <w:rsid w:val="008D5579"/>
    <w:rsid w:val="008E181B"/>
    <w:rsid w:val="008F0D2A"/>
    <w:rsid w:val="008F32C6"/>
    <w:rsid w:val="009360E6"/>
    <w:rsid w:val="0094280D"/>
    <w:rsid w:val="0095288D"/>
    <w:rsid w:val="0097246D"/>
    <w:rsid w:val="009D31E4"/>
    <w:rsid w:val="009E201E"/>
    <w:rsid w:val="00A027EE"/>
    <w:rsid w:val="00A22E95"/>
    <w:rsid w:val="00A32EDE"/>
    <w:rsid w:val="00A52513"/>
    <w:rsid w:val="00AC0E51"/>
    <w:rsid w:val="00B157F7"/>
    <w:rsid w:val="00BC32A2"/>
    <w:rsid w:val="00C179B9"/>
    <w:rsid w:val="00C51433"/>
    <w:rsid w:val="00C5244C"/>
    <w:rsid w:val="00C56212"/>
    <w:rsid w:val="00C71F03"/>
    <w:rsid w:val="00C8114D"/>
    <w:rsid w:val="00CD485E"/>
    <w:rsid w:val="00D9646A"/>
    <w:rsid w:val="00D96F40"/>
    <w:rsid w:val="00DB0DD8"/>
    <w:rsid w:val="00E114B7"/>
    <w:rsid w:val="00E14204"/>
    <w:rsid w:val="00EC3984"/>
    <w:rsid w:val="00F22F5E"/>
    <w:rsid w:val="00F60624"/>
    <w:rsid w:val="00F713CB"/>
    <w:rsid w:val="00F84C00"/>
    <w:rsid w:val="00F8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03BA"/>
  <w15:chartTrackingRefBased/>
  <w15:docId w15:val="{F40AA3E3-5B62-492B-9571-25612038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212"/>
  </w:style>
  <w:style w:type="paragraph" w:styleId="Heading1">
    <w:name w:val="heading 1"/>
    <w:basedOn w:val="Normal"/>
    <w:next w:val="Normal"/>
    <w:link w:val="Heading1Char"/>
    <w:uiPriority w:val="9"/>
    <w:qFormat/>
    <w:rsid w:val="00C56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485E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93CA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93CA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6212"/>
    <w:pPr>
      <w:spacing w:after="0" w:line="240" w:lineRule="auto"/>
    </w:pPr>
    <w:rPr>
      <w:sz w:val="24"/>
    </w:rPr>
  </w:style>
  <w:style w:type="paragraph" w:customStyle="1" w:styleId="AuthorBio">
    <w:name w:val="Author Bio"/>
    <w:basedOn w:val="Heading1"/>
    <w:qFormat/>
    <w:rsid w:val="00C51433"/>
    <w:rPr>
      <w:b/>
      <w:i/>
      <w:noProof/>
      <w:color w:val="F7CAAC" w:themeColor="accent2" w:themeTint="66"/>
    </w:rPr>
  </w:style>
  <w:style w:type="character" w:customStyle="1" w:styleId="Heading1Char">
    <w:name w:val="Heading 1 Char"/>
    <w:basedOn w:val="DefaultParagraphFont"/>
    <w:link w:val="Heading1"/>
    <w:uiPriority w:val="9"/>
    <w:rsid w:val="00C56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ackMatterTitle">
    <w:name w:val="Back Matter Title"/>
    <w:basedOn w:val="AuthorBio"/>
    <w:qFormat/>
    <w:rsid w:val="00C51433"/>
    <w:rPr>
      <w:i w:val="0"/>
      <w:color w:val="833C0B" w:themeColor="accent2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7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793C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93CA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qFormat/>
    <w:rsid w:val="00DB0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DD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rsid w:val="00DB0DD8"/>
    <w:pPr>
      <w:ind w:left="720"/>
      <w:contextualSpacing/>
    </w:pPr>
  </w:style>
  <w:style w:type="character" w:styleId="Hyperlink">
    <w:name w:val="Hyperlink"/>
    <w:basedOn w:val="DefaultParagraphFont"/>
    <w:rsid w:val="0070482D"/>
    <w:rPr>
      <w:color w:val="0000FF"/>
      <w:u w:val="single"/>
    </w:rPr>
  </w:style>
  <w:style w:type="paragraph" w:styleId="Footer">
    <w:name w:val="footer"/>
    <w:basedOn w:val="Normal"/>
    <w:link w:val="FooterChar"/>
    <w:rsid w:val="0070482D"/>
    <w:pPr>
      <w:tabs>
        <w:tab w:val="center" w:pos="4320"/>
        <w:tab w:val="right" w:pos="8640"/>
      </w:tabs>
      <w:spacing w:after="0" w:line="240" w:lineRule="auto"/>
    </w:pPr>
    <w:rPr>
      <w:rFonts w:ascii="Century Schoolbook" w:eastAsia="Times New Roman" w:hAnsi="Century Schoolbook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70482D"/>
    <w:rPr>
      <w:rFonts w:ascii="Century Schoolbook" w:eastAsia="Times New Roman" w:hAnsi="Century Schoolbook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D485E"/>
    <w:rPr>
      <w:rFonts w:ascii="Arial" w:eastAsia="Times New Roman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Old Stone Age Study Guide</vt:lpstr>
    </vt:vector>
  </TitlesOfParts>
  <Company>Hewlett-Packard Company</Company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Old Stone Age Study Guide</dc:title>
  <dc:subject/>
  <dc:creator>Karen Duncan</dc:creator>
  <cp:keywords/>
  <dc:description/>
  <cp:lastModifiedBy>Liliya Zalevskaya</cp:lastModifiedBy>
  <cp:revision>3</cp:revision>
  <dcterms:created xsi:type="dcterms:W3CDTF">2019-07-28T23:00:00Z</dcterms:created>
  <dcterms:modified xsi:type="dcterms:W3CDTF">2019-07-28T23:01:00Z</dcterms:modified>
</cp:coreProperties>
</file>