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0AE6E5" w14:textId="5158E18E" w:rsidR="0079793C" w:rsidRPr="00C12913" w:rsidRDefault="0079793C" w:rsidP="0079793C">
      <w:pPr>
        <w:pStyle w:val="Title"/>
      </w:pPr>
      <w:bookmarkStart w:id="0" w:name="_GoBack"/>
      <w:r w:rsidRPr="00C12913">
        <w:t>CHAPTER SEVENTEEN</w:t>
      </w:r>
      <w:r>
        <w:t>:</w:t>
      </w:r>
    </w:p>
    <w:p w14:paraId="7C48B894" w14:textId="77777777" w:rsidR="0079793C" w:rsidRPr="00C12913" w:rsidRDefault="0079793C" w:rsidP="0079793C">
      <w:pPr>
        <w:pStyle w:val="Title"/>
      </w:pPr>
      <w:r w:rsidRPr="00C12913">
        <w:t xml:space="preserve">THE LATE RENAISSANCE AND MANNERISM </w:t>
      </w:r>
    </w:p>
    <w:p w14:paraId="151D9FE6" w14:textId="59D1EE9C" w:rsidR="0079793C" w:rsidRPr="0079793C" w:rsidRDefault="0079793C" w:rsidP="0079793C">
      <w:pPr>
        <w:pStyle w:val="Title"/>
      </w:pPr>
      <w:r w:rsidRPr="00C12913">
        <w:t>IN SIXTEENTH-CENTURY ITALY</w:t>
      </w:r>
    </w:p>
    <w:p w14:paraId="2C8BEA49" w14:textId="77777777" w:rsidR="0079793C" w:rsidRDefault="0079793C" w:rsidP="0079793C">
      <w:pPr>
        <w:tabs>
          <w:tab w:val="left" w:pos="450"/>
          <w:tab w:val="left" w:pos="810"/>
          <w:tab w:val="left" w:pos="1710"/>
          <w:tab w:val="left" w:pos="5040"/>
          <w:tab w:val="left" w:pos="7020"/>
          <w:tab w:val="left" w:pos="8640"/>
        </w:tabs>
        <w:rPr>
          <w:sz w:val="28"/>
          <w:szCs w:val="28"/>
        </w:rPr>
      </w:pPr>
    </w:p>
    <w:p w14:paraId="580D4DEA" w14:textId="6BB4452C" w:rsidR="0079793C" w:rsidRDefault="0079793C" w:rsidP="00C66168">
      <w:pPr>
        <w:pStyle w:val="Heading1"/>
      </w:pPr>
      <w:r w:rsidRPr="00C66168">
        <w:t>Late Renaissance Florence: The Church, The Court, and Mannerism</w:t>
      </w:r>
    </w:p>
    <w:p w14:paraId="34990136" w14:textId="4AA55406"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In the early sixteenth century</w:t>
      </w:r>
      <w:r>
        <w:t>,</w:t>
      </w:r>
      <w:r w:rsidRPr="004776FF">
        <w:t xml:space="preserve"> Florentine artists developed a new style of art that seemed to be in opposition to the serenity of the art of the High Renaissance. This style, which became known as </w:t>
      </w:r>
      <w:r w:rsidRPr="004776FF">
        <w:rPr>
          <w:i/>
        </w:rPr>
        <w:t>mannerism</w:t>
      </w:r>
      <w:r w:rsidRPr="004776FF">
        <w:t>, was highly expressive. Mannerism was linked to an increased religiosity of the period possibly driven by the preaching of the Dominican friar Savonarola or in response to the Reformation.</w:t>
      </w:r>
    </w:p>
    <w:p w14:paraId="0BB28EF5" w14:textId="70C87BFC"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 xml:space="preserve">This conscious lack of balance can be seen in Jacopo da </w:t>
      </w:r>
      <w:proofErr w:type="spellStart"/>
      <w:r w:rsidRPr="004776FF">
        <w:t>Pontormo</w:t>
      </w:r>
      <w:r>
        <w:t>’</w:t>
      </w:r>
      <w:r w:rsidRPr="004776FF">
        <w:t>s</w:t>
      </w:r>
      <w:proofErr w:type="spellEnd"/>
      <w:r w:rsidRPr="004776FF">
        <w:t xml:space="preserve"> </w:t>
      </w:r>
      <w:r w:rsidRPr="004776FF">
        <w:rPr>
          <w:i/>
        </w:rPr>
        <w:t>The Entombment.</w:t>
      </w:r>
    </w:p>
    <w:p w14:paraId="49069BA0" w14:textId="01B5C313"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 xml:space="preserve">Under the continued patronage of the </w:t>
      </w:r>
      <w:proofErr w:type="spellStart"/>
      <w:r w:rsidRPr="004776FF">
        <w:t>Medicis</w:t>
      </w:r>
      <w:proofErr w:type="spellEnd"/>
      <w:r w:rsidRPr="004776FF">
        <w:t>, the city of Florence flourished in the early sixteenth century with Michelangelo</w:t>
      </w:r>
      <w:r>
        <w:t>’</w:t>
      </w:r>
      <w:r w:rsidRPr="004776FF">
        <w:t xml:space="preserve">s addition of the New Sacristy to San Lorenzo, and his design for the Laurentian library. </w:t>
      </w:r>
    </w:p>
    <w:p w14:paraId="1D8D3566" w14:textId="77777777"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 xml:space="preserve">High Mannerism asserted a </w:t>
      </w:r>
      <w:r>
        <w:t>“</w:t>
      </w:r>
      <w:r w:rsidRPr="004776FF">
        <w:t>pure aesthetic ideal</w:t>
      </w:r>
      <w:r>
        <w:t>”</w:t>
      </w:r>
      <w:r w:rsidRPr="004776FF">
        <w:t xml:space="preserve"> in art, emphasizing elegance and virtuosity.</w:t>
      </w:r>
    </w:p>
    <w:p w14:paraId="4D464F96" w14:textId="77777777" w:rsidR="00C66168" w:rsidRPr="004776FF" w:rsidRDefault="00C66168" w:rsidP="00C66168">
      <w:pPr>
        <w:tabs>
          <w:tab w:val="left" w:pos="450"/>
          <w:tab w:val="left" w:pos="810"/>
          <w:tab w:val="left" w:pos="1710"/>
          <w:tab w:val="left" w:pos="5040"/>
          <w:tab w:val="left" w:pos="7020"/>
          <w:tab w:val="left" w:pos="8640"/>
        </w:tabs>
        <w:rPr>
          <w:b/>
        </w:rPr>
      </w:pPr>
    </w:p>
    <w:p w14:paraId="6BD902A8" w14:textId="1FBE08EA" w:rsidR="00C66168" w:rsidRPr="00C66168" w:rsidRDefault="00C66168" w:rsidP="00C66168">
      <w:pPr>
        <w:tabs>
          <w:tab w:val="left" w:pos="450"/>
          <w:tab w:val="left" w:pos="810"/>
          <w:tab w:val="left" w:pos="1710"/>
          <w:tab w:val="left" w:pos="5040"/>
          <w:tab w:val="left" w:pos="7020"/>
          <w:tab w:val="left" w:pos="8640"/>
        </w:tabs>
        <w:rPr>
          <w:sz w:val="17"/>
          <w:szCs w:val="17"/>
        </w:rPr>
      </w:pPr>
      <w:r w:rsidRPr="00C66168">
        <w:rPr>
          <w:rStyle w:val="Heading1Char"/>
        </w:rPr>
        <w:t>Rome Reformed</w:t>
      </w:r>
    </w:p>
    <w:p w14:paraId="7F47C85C" w14:textId="5868A92F"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 xml:space="preserve">Pope Paul III responded to the challenge of the Protestant Reformation by calling the Council of Trent. The council, which issued its regulations in 1564, proposed expansive reforms. </w:t>
      </w:r>
    </w:p>
    <w:p w14:paraId="1374DBFB" w14:textId="1B0EDEF7"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Pope Paul III, who was educated in the Medici household in Florence, was interested in commissioning projects from leading artists including Michelangelo. These projects included works in the urban center of Rome and also in the Vatican.</w:t>
      </w:r>
    </w:p>
    <w:p w14:paraId="644C389E" w14:textId="01F67C75"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Michelangelo</w:t>
      </w:r>
      <w:r>
        <w:t>’</w:t>
      </w:r>
      <w:r w:rsidRPr="004776FF">
        <w:t xml:space="preserve">s contribution to this effort was extensive with his painting of </w:t>
      </w:r>
      <w:r w:rsidRPr="004776FF">
        <w:rPr>
          <w:i/>
        </w:rPr>
        <w:t>The Last Judgment</w:t>
      </w:r>
      <w:r w:rsidRPr="004776FF">
        <w:t xml:space="preserve"> in the Sistine Chapel and design for the </w:t>
      </w:r>
      <w:proofErr w:type="spellStart"/>
      <w:r w:rsidRPr="004776FF">
        <w:t>Campidoglio</w:t>
      </w:r>
      <w:proofErr w:type="spellEnd"/>
      <w:r w:rsidRPr="004776FF">
        <w:t xml:space="preserve"> and St. Peter</w:t>
      </w:r>
      <w:r>
        <w:t>’</w:t>
      </w:r>
      <w:r w:rsidRPr="004776FF">
        <w:t xml:space="preserve">s. </w:t>
      </w:r>
    </w:p>
    <w:p w14:paraId="34D387F3" w14:textId="5302D1ED"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rPr>
          <w:i/>
        </w:rPr>
        <w:t>The Last Judgment</w:t>
      </w:r>
      <w:r w:rsidRPr="004776FF">
        <w:t xml:space="preserve"> is much darker in tone than his earlier Genesis scenes, possibly reflecting Michelangelo</w:t>
      </w:r>
      <w:r>
        <w:t>’</w:t>
      </w:r>
      <w:r w:rsidRPr="004776FF">
        <w:t>s increased pessimism.</w:t>
      </w:r>
    </w:p>
    <w:p w14:paraId="32133771" w14:textId="77777777"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New religious orders such as the Jesuits commissioned the construction of large basilicas for worship, which marked a departure from the central-plan churches of the earlier period.</w:t>
      </w:r>
    </w:p>
    <w:p w14:paraId="2642AC70" w14:textId="77777777" w:rsidR="00C66168" w:rsidRPr="004776FF" w:rsidRDefault="00C66168" w:rsidP="00C66168">
      <w:pPr>
        <w:tabs>
          <w:tab w:val="left" w:pos="450"/>
          <w:tab w:val="left" w:pos="810"/>
          <w:tab w:val="left" w:pos="1710"/>
          <w:tab w:val="left" w:pos="5040"/>
          <w:tab w:val="left" w:pos="7020"/>
          <w:tab w:val="left" w:pos="8640"/>
        </w:tabs>
      </w:pPr>
    </w:p>
    <w:p w14:paraId="5B231F96" w14:textId="28205103" w:rsidR="00C66168" w:rsidRPr="004776FF" w:rsidRDefault="00C66168" w:rsidP="00C66168">
      <w:pPr>
        <w:tabs>
          <w:tab w:val="left" w:pos="450"/>
          <w:tab w:val="left" w:pos="810"/>
          <w:tab w:val="left" w:pos="1710"/>
          <w:tab w:val="left" w:pos="5040"/>
          <w:tab w:val="left" w:pos="7020"/>
          <w:tab w:val="left" w:pos="8640"/>
        </w:tabs>
        <w:rPr>
          <w:b/>
        </w:rPr>
      </w:pPr>
      <w:r w:rsidRPr="00C66168">
        <w:rPr>
          <w:rStyle w:val="Heading1Char"/>
        </w:rPr>
        <w:t>Northern Italy: Ducal Courts and Urban Centers</w:t>
      </w:r>
    </w:p>
    <w:p w14:paraId="54F9D13D" w14:textId="4FCC58FE"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In Mantua</w:t>
      </w:r>
      <w:r>
        <w:t>,</w:t>
      </w:r>
      <w:r w:rsidRPr="004776FF">
        <w:t xml:space="preserve"> Isabella </w:t>
      </w:r>
      <w:proofErr w:type="spellStart"/>
      <w:r w:rsidRPr="004776FF">
        <w:t>d</w:t>
      </w:r>
      <w:r>
        <w:t>’</w:t>
      </w:r>
      <w:r w:rsidRPr="004776FF">
        <w:t>Este</w:t>
      </w:r>
      <w:proofErr w:type="spellEnd"/>
      <w:r w:rsidRPr="004776FF">
        <w:t>, the wife of Francesco II Gonzaga, was one of the most active patrons of the period.</w:t>
      </w:r>
    </w:p>
    <w:p w14:paraId="0EDCE336" w14:textId="77777777"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lastRenderedPageBreak/>
        <w:t xml:space="preserve">In designing the Palazzo del </w:t>
      </w:r>
      <w:proofErr w:type="spellStart"/>
      <w:r w:rsidRPr="004776FF">
        <w:t>Te</w:t>
      </w:r>
      <w:proofErr w:type="spellEnd"/>
      <w:r w:rsidRPr="004776FF">
        <w:t xml:space="preserve"> for Francesco II Gonzaga, Giulio Romano broke the traditional rules of architecture, seemingly signifying that the wishes of the patron supersede the traditional </w:t>
      </w:r>
      <w:r>
        <w:t>“</w:t>
      </w:r>
      <w:proofErr w:type="spellStart"/>
      <w:proofErr w:type="gramStart"/>
      <w:r w:rsidRPr="004776FF">
        <w:t>rules</w:t>
      </w:r>
      <w:r>
        <w:t>”</w:t>
      </w:r>
      <w:r w:rsidRPr="004776FF">
        <w:t>of</w:t>
      </w:r>
      <w:proofErr w:type="spellEnd"/>
      <w:proofErr w:type="gramEnd"/>
      <w:r w:rsidRPr="004776FF">
        <w:t xml:space="preserve"> architecture. In the </w:t>
      </w:r>
      <w:r w:rsidRPr="004776FF">
        <w:rPr>
          <w:i/>
        </w:rPr>
        <w:t>Fall of the Giants from Mount Olympus</w:t>
      </w:r>
      <w:r w:rsidRPr="004776FF">
        <w:t>, Romano depicted Gonzaga as Zeus, further reinforcing the notion of the primacy of the patron.</w:t>
      </w:r>
    </w:p>
    <w:p w14:paraId="4B053E1F" w14:textId="77777777" w:rsidR="00C66168" w:rsidRPr="004776FF" w:rsidRDefault="00C66168" w:rsidP="00C66168">
      <w:pPr>
        <w:tabs>
          <w:tab w:val="left" w:pos="450"/>
          <w:tab w:val="left" w:pos="810"/>
          <w:tab w:val="left" w:pos="1710"/>
          <w:tab w:val="left" w:pos="5040"/>
          <w:tab w:val="left" w:pos="7020"/>
          <w:tab w:val="left" w:pos="8640"/>
        </w:tabs>
        <w:rPr>
          <w:b/>
        </w:rPr>
      </w:pPr>
    </w:p>
    <w:p w14:paraId="53E5AB52" w14:textId="79CCF8DF" w:rsidR="00C66168" w:rsidRPr="00C66168" w:rsidRDefault="00C66168" w:rsidP="00C66168">
      <w:pPr>
        <w:tabs>
          <w:tab w:val="left" w:pos="450"/>
          <w:tab w:val="left" w:pos="810"/>
          <w:tab w:val="left" w:pos="1710"/>
          <w:tab w:val="left" w:pos="5040"/>
          <w:tab w:val="left" w:pos="7020"/>
          <w:tab w:val="left" w:pos="8640"/>
        </w:tabs>
        <w:rPr>
          <w:b/>
        </w:rPr>
      </w:pPr>
      <w:r w:rsidRPr="00C66168">
        <w:rPr>
          <w:rStyle w:val="Heading1Char"/>
        </w:rPr>
        <w:t>Parma and Cremona</w:t>
      </w:r>
    </w:p>
    <w:p w14:paraId="2CEA55BC" w14:textId="47747D72"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 xml:space="preserve">The commission of Mannerist works in Parma and Bologna suggests that these patrons were also interested in artistic innovations. </w:t>
      </w:r>
    </w:p>
    <w:p w14:paraId="40363467" w14:textId="5BF24289"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Parmigianino</w:t>
      </w:r>
      <w:r>
        <w:t>’</w:t>
      </w:r>
      <w:r w:rsidRPr="004776FF">
        <w:t xml:space="preserve">s </w:t>
      </w:r>
      <w:r w:rsidRPr="004776FF">
        <w:rPr>
          <w:i/>
        </w:rPr>
        <w:t>Madonna with the Long Neck</w:t>
      </w:r>
      <w:r w:rsidRPr="004776FF">
        <w:t xml:space="preserve"> is his most well-known work. The unbalanced composition with the elongated figures is an inversion of the ideals of the High Renaissance. </w:t>
      </w:r>
    </w:p>
    <w:p w14:paraId="43748559" w14:textId="6C734E2B" w:rsidR="00C66168" w:rsidRPr="004776FF" w:rsidRDefault="00C66168" w:rsidP="00C66168">
      <w:pPr>
        <w:numPr>
          <w:ilvl w:val="0"/>
          <w:numId w:val="1"/>
        </w:numPr>
        <w:tabs>
          <w:tab w:val="left" w:pos="450"/>
          <w:tab w:val="left" w:pos="810"/>
          <w:tab w:val="left" w:pos="1710"/>
          <w:tab w:val="left" w:pos="5040"/>
          <w:tab w:val="left" w:pos="7020"/>
          <w:tab w:val="left" w:pos="8640"/>
        </w:tabs>
        <w:spacing w:after="0" w:line="240" w:lineRule="auto"/>
      </w:pPr>
      <w:r w:rsidRPr="004776FF">
        <w:t>Other works from these areas, such as Lavinia Fontana</w:t>
      </w:r>
      <w:r>
        <w:t>’</w:t>
      </w:r>
      <w:r w:rsidRPr="004776FF">
        <w:t xml:space="preserve">s </w:t>
      </w:r>
      <w:r w:rsidRPr="004776FF">
        <w:rPr>
          <w:i/>
        </w:rPr>
        <w:t>Portrait of a Noblewoman</w:t>
      </w:r>
      <w:r w:rsidRPr="004776FF">
        <w:t xml:space="preserve">, suggests that there was also an interest in the naturalistic paintings more characteristic of the High Renaissance. </w:t>
      </w:r>
      <w:r>
        <w:br/>
      </w:r>
    </w:p>
    <w:p w14:paraId="2CED97D6" w14:textId="07C3270D" w:rsidR="00C66168" w:rsidRPr="00C66168" w:rsidRDefault="00C66168" w:rsidP="00C66168">
      <w:pPr>
        <w:tabs>
          <w:tab w:val="left" w:pos="450"/>
          <w:tab w:val="left" w:pos="810"/>
          <w:tab w:val="left" w:pos="1710"/>
          <w:tab w:val="left" w:pos="5040"/>
          <w:tab w:val="left" w:pos="7020"/>
          <w:tab w:val="left" w:pos="8640"/>
        </w:tabs>
      </w:pPr>
      <w:r w:rsidRPr="00C66168">
        <w:rPr>
          <w:rStyle w:val="Heading1Char"/>
        </w:rPr>
        <w:t>Venice: The Serene Republic</w:t>
      </w:r>
    </w:p>
    <w:p w14:paraId="36CC9E7A" w14:textId="62E86F95" w:rsidR="00C66168" w:rsidRPr="00C66168" w:rsidRDefault="00C66168" w:rsidP="00C66168">
      <w:pPr>
        <w:pStyle w:val="ListParagraph"/>
        <w:numPr>
          <w:ilvl w:val="0"/>
          <w:numId w:val="2"/>
        </w:numPr>
      </w:pPr>
      <w:r w:rsidRPr="00C66168">
        <w:t xml:space="preserve">In Venice, </w:t>
      </w:r>
      <w:proofErr w:type="spellStart"/>
      <w:r w:rsidRPr="00C66168">
        <w:t>Sansovino</w:t>
      </w:r>
      <w:proofErr w:type="spellEnd"/>
      <w:r w:rsidRPr="00C66168">
        <w:t xml:space="preserve"> became the chief architect of the city. His buildings were deeply influenced by his background as a sculptor and are very sculptural. </w:t>
      </w:r>
      <w:proofErr w:type="spellStart"/>
      <w:r w:rsidRPr="00C66168">
        <w:t>Sansovino’s</w:t>
      </w:r>
      <w:proofErr w:type="spellEnd"/>
      <w:r w:rsidRPr="00C66168">
        <w:t xml:space="preserve"> Library of San Marco was a blend of Roman classicism and opulent ornamentation.</w:t>
      </w:r>
    </w:p>
    <w:p w14:paraId="647865A6" w14:textId="13572988" w:rsidR="00C66168" w:rsidRDefault="00C66168" w:rsidP="00C66168">
      <w:pPr>
        <w:pStyle w:val="ListParagraph"/>
        <w:numPr>
          <w:ilvl w:val="0"/>
          <w:numId w:val="2"/>
        </w:numPr>
      </w:pPr>
      <w:r w:rsidRPr="00C66168">
        <w:t>The subject of Titian’s Venus of Urbino is debated. Some scholars suggest that it was intended to celebrate a marriage, although the records are unclear. The figure shows the influence of Michelangelo’s Night from the tomb of Giuliano de’ Medici in the New Sacristy of San Lorenzo in Florence (Fig. 17.3, p. 590).</w:t>
      </w:r>
    </w:p>
    <w:p w14:paraId="4B5FAD24" w14:textId="62800623" w:rsidR="006E2EF4" w:rsidRPr="00C66168" w:rsidRDefault="00C66168" w:rsidP="00C66168">
      <w:pPr>
        <w:pStyle w:val="ListParagraph"/>
        <w:numPr>
          <w:ilvl w:val="0"/>
          <w:numId w:val="2"/>
        </w:numPr>
      </w:pPr>
      <w:r w:rsidRPr="00C66168">
        <w:t>Titian’s emphasis on color (</w:t>
      </w:r>
      <w:proofErr w:type="spellStart"/>
      <w:r w:rsidRPr="00C66168">
        <w:t>colore</w:t>
      </w:r>
      <w:proofErr w:type="spellEnd"/>
      <w:r w:rsidRPr="00C66168">
        <w:t>) instead of drawing (</w:t>
      </w:r>
      <w:proofErr w:type="spellStart"/>
      <w:r w:rsidRPr="00C66168">
        <w:t>disegno</w:t>
      </w:r>
      <w:proofErr w:type="spellEnd"/>
      <w:r w:rsidRPr="00C66168">
        <w:t>) was one of the hallmarks of Venetian painting, also seen in the work of Giorgione.</w:t>
      </w:r>
      <w:bookmarkEnd w:id="0"/>
    </w:p>
    <w:sectPr w:rsidR="006E2EF4" w:rsidRPr="00C66168" w:rsidSect="00F84C00">
      <w:pgSz w:w="12240" w:h="15840"/>
      <w:pgMar w:top="1440" w:right="1800" w:bottom="1440" w:left="1800" w:header="720" w:footer="720" w:gutter="0"/>
      <w:pgNumType w:start="59"/>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Schoolbook">
    <w:panose1 w:val="02040604050505020304"/>
    <w:charset w:val="00"/>
    <w:family w:val="roman"/>
    <w:pitch w:val="variable"/>
    <w:sig w:usb0="00000287" w:usb1="00000000"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49428E9"/>
    <w:multiLevelType w:val="singleLevel"/>
    <w:tmpl w:val="04090001"/>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79DF3272"/>
    <w:multiLevelType w:val="hybridMultilevel"/>
    <w:tmpl w:val="D6C864C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IdMacAtCleanup w:val="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41"/>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60F4"/>
    <w:rsid w:val="00037A94"/>
    <w:rsid w:val="000A52BA"/>
    <w:rsid w:val="000C0BF5"/>
    <w:rsid w:val="00100C63"/>
    <w:rsid w:val="00115BBB"/>
    <w:rsid w:val="00137115"/>
    <w:rsid w:val="00137603"/>
    <w:rsid w:val="00180445"/>
    <w:rsid w:val="001C18BE"/>
    <w:rsid w:val="001D48A1"/>
    <w:rsid w:val="001D5989"/>
    <w:rsid w:val="0022276A"/>
    <w:rsid w:val="00257B7D"/>
    <w:rsid w:val="00277CE9"/>
    <w:rsid w:val="002D1A83"/>
    <w:rsid w:val="00315A3B"/>
    <w:rsid w:val="00320727"/>
    <w:rsid w:val="00325714"/>
    <w:rsid w:val="00342FFC"/>
    <w:rsid w:val="003501A1"/>
    <w:rsid w:val="0039142C"/>
    <w:rsid w:val="003C659E"/>
    <w:rsid w:val="00412E33"/>
    <w:rsid w:val="00420048"/>
    <w:rsid w:val="00433A91"/>
    <w:rsid w:val="00445269"/>
    <w:rsid w:val="00453344"/>
    <w:rsid w:val="00485842"/>
    <w:rsid w:val="004D6372"/>
    <w:rsid w:val="004D7A23"/>
    <w:rsid w:val="004E1F9B"/>
    <w:rsid w:val="004F2F84"/>
    <w:rsid w:val="00515EF4"/>
    <w:rsid w:val="00525BB9"/>
    <w:rsid w:val="00566D72"/>
    <w:rsid w:val="00586710"/>
    <w:rsid w:val="005E731A"/>
    <w:rsid w:val="005F7293"/>
    <w:rsid w:val="00606DB2"/>
    <w:rsid w:val="006160F4"/>
    <w:rsid w:val="006173FD"/>
    <w:rsid w:val="006552B1"/>
    <w:rsid w:val="00677CE4"/>
    <w:rsid w:val="006839A1"/>
    <w:rsid w:val="00692425"/>
    <w:rsid w:val="006C132A"/>
    <w:rsid w:val="006E2EF4"/>
    <w:rsid w:val="006E442C"/>
    <w:rsid w:val="006F01C1"/>
    <w:rsid w:val="0070482D"/>
    <w:rsid w:val="007070C0"/>
    <w:rsid w:val="00746BF8"/>
    <w:rsid w:val="00765204"/>
    <w:rsid w:val="00790F6F"/>
    <w:rsid w:val="00793CA5"/>
    <w:rsid w:val="0079793C"/>
    <w:rsid w:val="007C71C9"/>
    <w:rsid w:val="007F7421"/>
    <w:rsid w:val="008156B5"/>
    <w:rsid w:val="0082040A"/>
    <w:rsid w:val="008D5579"/>
    <w:rsid w:val="008E181B"/>
    <w:rsid w:val="008F0D2A"/>
    <w:rsid w:val="008F32C6"/>
    <w:rsid w:val="009360E6"/>
    <w:rsid w:val="0094280D"/>
    <w:rsid w:val="0095288D"/>
    <w:rsid w:val="0097246D"/>
    <w:rsid w:val="009D31E4"/>
    <w:rsid w:val="009E201E"/>
    <w:rsid w:val="00A027EE"/>
    <w:rsid w:val="00A22E95"/>
    <w:rsid w:val="00A32EDE"/>
    <w:rsid w:val="00A52513"/>
    <w:rsid w:val="00AC0E51"/>
    <w:rsid w:val="00B157F7"/>
    <w:rsid w:val="00BC32A2"/>
    <w:rsid w:val="00C179B9"/>
    <w:rsid w:val="00C51433"/>
    <w:rsid w:val="00C5244C"/>
    <w:rsid w:val="00C56212"/>
    <w:rsid w:val="00C66168"/>
    <w:rsid w:val="00C71F03"/>
    <w:rsid w:val="00C8114D"/>
    <w:rsid w:val="00CA275A"/>
    <w:rsid w:val="00CD485E"/>
    <w:rsid w:val="00CF201D"/>
    <w:rsid w:val="00D9646A"/>
    <w:rsid w:val="00D96F40"/>
    <w:rsid w:val="00DA0FCE"/>
    <w:rsid w:val="00DB0DD8"/>
    <w:rsid w:val="00E114B7"/>
    <w:rsid w:val="00E14204"/>
    <w:rsid w:val="00E15DBA"/>
    <w:rsid w:val="00EC3984"/>
    <w:rsid w:val="00F22F5E"/>
    <w:rsid w:val="00F60624"/>
    <w:rsid w:val="00F713CB"/>
    <w:rsid w:val="00F84C00"/>
    <w:rsid w:val="00F84F2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3203BA"/>
  <w15:chartTrackingRefBased/>
  <w15:docId w15:val="{F40AA3E3-5B62-492B-9571-256120386E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C56212"/>
  </w:style>
  <w:style w:type="paragraph" w:styleId="Heading1">
    <w:name w:val="heading 1"/>
    <w:basedOn w:val="Normal"/>
    <w:next w:val="Normal"/>
    <w:link w:val="Heading1Char"/>
    <w:uiPriority w:val="9"/>
    <w:qFormat/>
    <w:rsid w:val="00C56212"/>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A027EE"/>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qFormat/>
    <w:rsid w:val="00CD485E"/>
    <w:pPr>
      <w:keepNext/>
      <w:spacing w:before="240" w:after="60" w:line="240" w:lineRule="auto"/>
      <w:outlineLvl w:val="2"/>
    </w:pPr>
    <w:rPr>
      <w:rFonts w:ascii="Arial" w:eastAsia="Times New Roman" w:hAnsi="Arial" w:cs="Arial"/>
      <w:b/>
      <w:bCs/>
      <w:sz w:val="26"/>
      <w:szCs w:val="26"/>
    </w:rPr>
  </w:style>
  <w:style w:type="paragraph" w:styleId="Heading4">
    <w:name w:val="heading 4"/>
    <w:basedOn w:val="Normal"/>
    <w:next w:val="Normal"/>
    <w:link w:val="Heading4Char"/>
    <w:uiPriority w:val="9"/>
    <w:semiHidden/>
    <w:unhideWhenUsed/>
    <w:qFormat/>
    <w:rsid w:val="00525BB9"/>
    <w:pPr>
      <w:keepNext/>
      <w:keepLines/>
      <w:spacing w:before="40" w:after="0"/>
      <w:outlineLvl w:val="3"/>
    </w:pPr>
    <w:rPr>
      <w:rFonts w:asciiTheme="majorHAnsi" w:eastAsiaTheme="majorEastAsia" w:hAnsiTheme="majorHAnsi" w:cstheme="majorBidi"/>
      <w:i/>
      <w:iCs/>
      <w:color w:val="2E74B5" w:themeColor="accent1" w:themeShade="BF"/>
    </w:rPr>
  </w:style>
  <w:style w:type="paragraph" w:styleId="Heading6">
    <w:name w:val="heading 6"/>
    <w:basedOn w:val="Normal"/>
    <w:next w:val="Normal"/>
    <w:link w:val="Heading6Char"/>
    <w:qFormat/>
    <w:rsid w:val="00793CA5"/>
    <w:pPr>
      <w:spacing w:before="240" w:after="60" w:line="240" w:lineRule="auto"/>
      <w:outlineLvl w:val="5"/>
    </w:pPr>
    <w:rPr>
      <w:rFonts w:ascii="Times New Roman" w:eastAsia="Times New Roman" w:hAnsi="Times New Roman" w:cs="Times New Roman"/>
      <w:b/>
      <w:bCs/>
    </w:rPr>
  </w:style>
  <w:style w:type="paragraph" w:styleId="Heading7">
    <w:name w:val="heading 7"/>
    <w:basedOn w:val="Normal"/>
    <w:next w:val="Normal"/>
    <w:link w:val="Heading7Char"/>
    <w:qFormat/>
    <w:rsid w:val="00793CA5"/>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56212"/>
    <w:pPr>
      <w:spacing w:after="0" w:line="240" w:lineRule="auto"/>
    </w:pPr>
    <w:rPr>
      <w:sz w:val="24"/>
    </w:rPr>
  </w:style>
  <w:style w:type="paragraph" w:customStyle="1" w:styleId="AuthorBio">
    <w:name w:val="Author Bio"/>
    <w:basedOn w:val="Heading1"/>
    <w:qFormat/>
    <w:rsid w:val="00C51433"/>
    <w:rPr>
      <w:b/>
      <w:i/>
      <w:noProof/>
      <w:color w:val="F7CAAC" w:themeColor="accent2" w:themeTint="66"/>
    </w:rPr>
  </w:style>
  <w:style w:type="character" w:customStyle="1" w:styleId="Heading1Char">
    <w:name w:val="Heading 1 Char"/>
    <w:basedOn w:val="DefaultParagraphFont"/>
    <w:link w:val="Heading1"/>
    <w:uiPriority w:val="9"/>
    <w:rsid w:val="00C56212"/>
    <w:rPr>
      <w:rFonts w:asciiTheme="majorHAnsi" w:eastAsiaTheme="majorEastAsia" w:hAnsiTheme="majorHAnsi" w:cstheme="majorBidi"/>
      <w:color w:val="2E74B5" w:themeColor="accent1" w:themeShade="BF"/>
      <w:sz w:val="32"/>
      <w:szCs w:val="32"/>
    </w:rPr>
  </w:style>
  <w:style w:type="paragraph" w:customStyle="1" w:styleId="BackMatterTitle">
    <w:name w:val="Back Matter Title"/>
    <w:basedOn w:val="AuthorBio"/>
    <w:qFormat/>
    <w:rsid w:val="00C51433"/>
    <w:rPr>
      <w:i w:val="0"/>
      <w:color w:val="833C0B" w:themeColor="accent2" w:themeShade="80"/>
      <w:sz w:val="28"/>
    </w:rPr>
  </w:style>
  <w:style w:type="character" w:customStyle="1" w:styleId="Heading2Char">
    <w:name w:val="Heading 2 Char"/>
    <w:basedOn w:val="DefaultParagraphFont"/>
    <w:link w:val="Heading2"/>
    <w:uiPriority w:val="9"/>
    <w:rsid w:val="00A027EE"/>
    <w:rPr>
      <w:rFonts w:asciiTheme="majorHAnsi" w:eastAsiaTheme="majorEastAsia" w:hAnsiTheme="majorHAnsi" w:cstheme="majorBidi"/>
      <w:color w:val="2E74B5" w:themeColor="accent1" w:themeShade="BF"/>
      <w:sz w:val="26"/>
      <w:szCs w:val="26"/>
    </w:rPr>
  </w:style>
  <w:style w:type="character" w:customStyle="1" w:styleId="Heading4Char">
    <w:name w:val="Heading 4 Char"/>
    <w:basedOn w:val="DefaultParagraphFont"/>
    <w:link w:val="Heading4"/>
    <w:uiPriority w:val="9"/>
    <w:semiHidden/>
    <w:rsid w:val="00525BB9"/>
    <w:rPr>
      <w:rFonts w:asciiTheme="majorHAnsi" w:eastAsiaTheme="majorEastAsia" w:hAnsiTheme="majorHAnsi" w:cstheme="majorBidi"/>
      <w:i/>
      <w:iCs/>
      <w:color w:val="2E74B5" w:themeColor="accent1" w:themeShade="BF"/>
    </w:rPr>
  </w:style>
  <w:style w:type="character" w:customStyle="1" w:styleId="Heading7Char">
    <w:name w:val="Heading 7 Char"/>
    <w:basedOn w:val="DefaultParagraphFont"/>
    <w:link w:val="Heading7"/>
    <w:rsid w:val="00793CA5"/>
    <w:rPr>
      <w:rFonts w:ascii="Times New Roman" w:eastAsia="Times New Roman" w:hAnsi="Times New Roman" w:cs="Times New Roman"/>
      <w:sz w:val="24"/>
      <w:szCs w:val="24"/>
    </w:rPr>
  </w:style>
  <w:style w:type="character" w:customStyle="1" w:styleId="Heading6Char">
    <w:name w:val="Heading 6 Char"/>
    <w:basedOn w:val="DefaultParagraphFont"/>
    <w:link w:val="Heading6"/>
    <w:rsid w:val="00793CA5"/>
    <w:rPr>
      <w:rFonts w:ascii="Times New Roman" w:eastAsia="Times New Roman" w:hAnsi="Times New Roman" w:cs="Times New Roman"/>
      <w:b/>
      <w:bCs/>
    </w:rPr>
  </w:style>
  <w:style w:type="paragraph" w:styleId="Title">
    <w:name w:val="Title"/>
    <w:basedOn w:val="Normal"/>
    <w:next w:val="Normal"/>
    <w:link w:val="TitleChar"/>
    <w:qFormat/>
    <w:rsid w:val="00DB0D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DD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DD8"/>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0DD8"/>
    <w:rPr>
      <w:rFonts w:eastAsiaTheme="minorEastAsia"/>
      <w:color w:val="5A5A5A" w:themeColor="text1" w:themeTint="A5"/>
      <w:spacing w:val="15"/>
    </w:rPr>
  </w:style>
  <w:style w:type="paragraph" w:styleId="ListParagraph">
    <w:name w:val="List Paragraph"/>
    <w:basedOn w:val="Normal"/>
    <w:qFormat/>
    <w:rsid w:val="00DB0DD8"/>
    <w:pPr>
      <w:ind w:left="720"/>
      <w:contextualSpacing/>
    </w:pPr>
  </w:style>
  <w:style w:type="character" w:styleId="Hyperlink">
    <w:name w:val="Hyperlink"/>
    <w:basedOn w:val="DefaultParagraphFont"/>
    <w:rsid w:val="0070482D"/>
    <w:rPr>
      <w:color w:val="0000FF"/>
      <w:u w:val="single"/>
    </w:rPr>
  </w:style>
  <w:style w:type="paragraph" w:styleId="Footer">
    <w:name w:val="footer"/>
    <w:basedOn w:val="Normal"/>
    <w:link w:val="FooterChar"/>
    <w:rsid w:val="0070482D"/>
    <w:pPr>
      <w:tabs>
        <w:tab w:val="center" w:pos="4320"/>
        <w:tab w:val="right" w:pos="8640"/>
      </w:tabs>
      <w:spacing w:after="0" w:line="240" w:lineRule="auto"/>
    </w:pPr>
    <w:rPr>
      <w:rFonts w:ascii="Century Schoolbook" w:eastAsia="Times New Roman" w:hAnsi="Century Schoolbook" w:cs="Times New Roman"/>
      <w:sz w:val="24"/>
      <w:szCs w:val="20"/>
    </w:rPr>
  </w:style>
  <w:style w:type="character" w:customStyle="1" w:styleId="FooterChar">
    <w:name w:val="Footer Char"/>
    <w:basedOn w:val="DefaultParagraphFont"/>
    <w:link w:val="Footer"/>
    <w:rsid w:val="0070482D"/>
    <w:rPr>
      <w:rFonts w:ascii="Century Schoolbook" w:eastAsia="Times New Roman" w:hAnsi="Century Schoolbook" w:cs="Times New Roman"/>
      <w:sz w:val="24"/>
      <w:szCs w:val="20"/>
    </w:rPr>
  </w:style>
  <w:style w:type="character" w:customStyle="1" w:styleId="Heading3Char">
    <w:name w:val="Heading 3 Char"/>
    <w:basedOn w:val="DefaultParagraphFont"/>
    <w:link w:val="Heading3"/>
    <w:rsid w:val="00CD485E"/>
    <w:rPr>
      <w:rFonts w:ascii="Arial" w:eastAsia="Times New Roman" w:hAnsi="Arial" w:cs="Arial"/>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543</Words>
  <Characters>3097</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The Old Stone Age Study Guide</vt:lpstr>
    </vt:vector>
  </TitlesOfParts>
  <Company>Hewlett-Packard Company</Company>
  <LinksUpToDate>false</LinksUpToDate>
  <CharactersWithSpaces>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Old Stone Age Study Guide</dc:title>
  <dc:subject/>
  <dc:creator>Karen Duncan</dc:creator>
  <cp:keywords/>
  <dc:description/>
  <cp:lastModifiedBy>Liliya Zalevskaya</cp:lastModifiedBy>
  <cp:revision>2</cp:revision>
  <dcterms:created xsi:type="dcterms:W3CDTF">2019-07-29T02:00:00Z</dcterms:created>
  <dcterms:modified xsi:type="dcterms:W3CDTF">2019-07-29T02:00:00Z</dcterms:modified>
</cp:coreProperties>
</file>