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15ED0" w14:textId="3C3205C8" w:rsidR="001C07B5" w:rsidRPr="001C07B5" w:rsidRDefault="001C07B5" w:rsidP="001C07B5">
      <w:pPr>
        <w:pStyle w:val="Title"/>
        <w:rPr>
          <w:rFonts w:ascii="Calibri" w:hAnsi="Calibri" w:cs="Calibri"/>
        </w:rPr>
      </w:pPr>
      <w:r w:rsidRPr="001C07B5">
        <w:rPr>
          <w:rFonts w:ascii="Calibri" w:hAnsi="Calibri" w:cs="Calibri"/>
        </w:rPr>
        <w:t>CHAPTER NINETEEN</w:t>
      </w:r>
      <w:r w:rsidRPr="001C07B5">
        <w:rPr>
          <w:rFonts w:ascii="Calibri" w:hAnsi="Calibri" w:cs="Calibri"/>
        </w:rPr>
        <w:t>:</w:t>
      </w:r>
    </w:p>
    <w:p w14:paraId="40DF1599" w14:textId="77777777" w:rsidR="001C07B5" w:rsidRPr="001C07B5" w:rsidRDefault="001C07B5" w:rsidP="001C07B5">
      <w:pPr>
        <w:pStyle w:val="Title"/>
        <w:rPr>
          <w:rFonts w:ascii="Calibri" w:hAnsi="Calibri" w:cs="Calibri"/>
        </w:rPr>
      </w:pPr>
      <w:r w:rsidRPr="001C07B5">
        <w:rPr>
          <w:rFonts w:ascii="Calibri" w:hAnsi="Calibri" w:cs="Calibri"/>
        </w:rPr>
        <w:t>THE BAROQUE IN ITALY AND SPAIN</w:t>
      </w:r>
    </w:p>
    <w:p w14:paraId="1A88728D" w14:textId="77777777" w:rsidR="001C07B5" w:rsidRPr="001C07B5" w:rsidRDefault="001C07B5" w:rsidP="001C07B5">
      <w:pPr>
        <w:pStyle w:val="Footer"/>
        <w:tabs>
          <w:tab w:val="clear" w:pos="4320"/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rFonts w:ascii="Calibri" w:hAnsi="Calibri" w:cs="Calibri"/>
        </w:rPr>
      </w:pPr>
    </w:p>
    <w:p w14:paraId="26CD9200" w14:textId="79F9CD59" w:rsidR="001C07B5" w:rsidRDefault="001C07B5" w:rsidP="005F096B">
      <w:pPr>
        <w:pStyle w:val="Footer"/>
        <w:tabs>
          <w:tab w:val="clear" w:pos="4320"/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1C07B5">
        <w:rPr>
          <w:rStyle w:val="Heading1Char"/>
        </w:rPr>
        <w:t>Painting in Italy</w:t>
      </w:r>
      <w:r w:rsidRPr="001C07B5">
        <w:rPr>
          <w:rFonts w:ascii="Calibri" w:hAnsi="Calibri" w:cs="Calibri"/>
          <w:sz w:val="28"/>
        </w:rPr>
        <w:br/>
      </w:r>
    </w:p>
    <w:p w14:paraId="01B503BA" w14:textId="71748277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Around 1600, Rome became the center of Baroque artistic activity.</w:t>
      </w:r>
    </w:p>
    <w:p w14:paraId="185CA4F4" w14:textId="1DBE125B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Although his career was very short, Caravaggio developed a new style of painting that would forever change the course of Western Art. This style included the use of </w:t>
      </w:r>
      <w:r>
        <w:t>“</w:t>
      </w:r>
      <w:r w:rsidRPr="004776FF">
        <w:t>everyday</w:t>
      </w:r>
      <w:r>
        <w:t>”</w:t>
      </w:r>
      <w:r w:rsidRPr="004776FF">
        <w:t xml:space="preserve"> people as models for his religious works and having them wear clothing contemporary to his own day. His style was also very naturalistic. Followers of Caravaggio practicing this style called </w:t>
      </w:r>
      <w:proofErr w:type="spellStart"/>
      <w:r w:rsidRPr="004776FF">
        <w:rPr>
          <w:i/>
        </w:rPr>
        <w:t>Caravaggism</w:t>
      </w:r>
      <w:proofErr w:type="spellEnd"/>
      <w:r w:rsidRPr="004776FF">
        <w:t xml:space="preserve"> included Artemisia Gentileschi.  </w:t>
      </w:r>
    </w:p>
    <w:p w14:paraId="3060E2BC" w14:textId="37D3EFD0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Artemisia Gentileschi</w:t>
      </w:r>
      <w:r>
        <w:t>’</w:t>
      </w:r>
      <w:r w:rsidRPr="004776FF">
        <w:t xml:space="preserve">s work was influenced by her work with her father, </w:t>
      </w:r>
      <w:proofErr w:type="spellStart"/>
      <w:r w:rsidRPr="004776FF">
        <w:t>Orazio</w:t>
      </w:r>
      <w:proofErr w:type="spellEnd"/>
      <w:r w:rsidRPr="004776FF">
        <w:t xml:space="preserve"> Gentileschi, a fresco painter, as well as the work of Caravaggio. Caravaggio</w:t>
      </w:r>
      <w:r>
        <w:t>’</w:t>
      </w:r>
      <w:r w:rsidRPr="004776FF">
        <w:t xml:space="preserve">s influence can be seen in her use of </w:t>
      </w:r>
      <w:r w:rsidRPr="004776FF">
        <w:rPr>
          <w:i/>
        </w:rPr>
        <w:t>tenebrism</w:t>
      </w:r>
      <w:r w:rsidRPr="004776FF">
        <w:t xml:space="preserve">, lighting, and naturalism in </w:t>
      </w:r>
      <w:r w:rsidRPr="004776FF">
        <w:rPr>
          <w:i/>
        </w:rPr>
        <w:t xml:space="preserve">Judith and Her Maidservant with the Head of Holofernes </w:t>
      </w:r>
      <w:r w:rsidRPr="004776FF">
        <w:t xml:space="preserve">(19.5). </w:t>
      </w:r>
    </w:p>
    <w:p w14:paraId="2F9DBDD7" w14:textId="62F6F5F4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proofErr w:type="spellStart"/>
      <w:r w:rsidRPr="004776FF">
        <w:t>Annibale</w:t>
      </w:r>
      <w:proofErr w:type="spellEnd"/>
      <w:r w:rsidRPr="004776FF">
        <w:t xml:space="preserve"> Carracci introduced a </w:t>
      </w:r>
      <w:r>
        <w:t>c</w:t>
      </w:r>
      <w:r w:rsidRPr="004776FF">
        <w:t>lassicism, based on the art of the High Renaissance, into Baroque Art.</w:t>
      </w:r>
    </w:p>
    <w:p w14:paraId="51889AB9" w14:textId="77777777" w:rsidR="005F096B" w:rsidRPr="004776FF" w:rsidRDefault="005F096B" w:rsidP="002B04BB">
      <w:pPr>
        <w:numPr>
          <w:ilvl w:val="0"/>
          <w:numId w:val="3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Illusionistic ceiling paintings were a favorite device of Baroque secular and religious architecture.</w:t>
      </w:r>
    </w:p>
    <w:p w14:paraId="00A49F33" w14:textId="77777777" w:rsidR="005F096B" w:rsidRPr="004776FF" w:rsidRDefault="005F096B" w:rsidP="005F096B"/>
    <w:p w14:paraId="232D3B24" w14:textId="4713E900" w:rsidR="005F096B" w:rsidRPr="004776FF" w:rsidRDefault="005F096B" w:rsidP="005F096B">
      <w:pPr>
        <w:pStyle w:val="Heading1"/>
      </w:pPr>
      <w:r w:rsidRPr="004776FF">
        <w:t>Architecture in Italy</w:t>
      </w:r>
    </w:p>
    <w:p w14:paraId="19429711" w14:textId="61DE88E1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St. Peter</w:t>
      </w:r>
      <w:r>
        <w:t>’</w:t>
      </w:r>
      <w:r w:rsidRPr="004776FF">
        <w:t>s (19.14) was completed during the Baroque period. Carlo Maderno</w:t>
      </w:r>
      <w:r>
        <w:t>’</w:t>
      </w:r>
      <w:r w:rsidRPr="004776FF">
        <w:t>s design for the façade followed an earlier design by Michelangelo. After Maderno</w:t>
      </w:r>
      <w:r>
        <w:t>’</w:t>
      </w:r>
      <w:r w:rsidRPr="004776FF">
        <w:t xml:space="preserve">s death, </w:t>
      </w:r>
      <w:proofErr w:type="spellStart"/>
      <w:r w:rsidRPr="004776FF">
        <w:t>Gialorenzo</w:t>
      </w:r>
      <w:proofErr w:type="spellEnd"/>
      <w:r w:rsidRPr="004776FF">
        <w:t xml:space="preserve"> Bernini continued the project, designing the exterior elliptical arch (suggesting the enfolding </w:t>
      </w:r>
      <w:r>
        <w:t>“</w:t>
      </w:r>
      <w:r w:rsidRPr="004776FF">
        <w:t>arms</w:t>
      </w:r>
      <w:r>
        <w:t xml:space="preserve">” </w:t>
      </w:r>
      <w:r w:rsidRPr="004776FF">
        <w:t>of the Church) and the piazza. With Bernini</w:t>
      </w:r>
      <w:r>
        <w:t>’</w:t>
      </w:r>
      <w:r w:rsidRPr="004776FF">
        <w:t xml:space="preserve">s </w:t>
      </w:r>
      <w:proofErr w:type="spellStart"/>
      <w:r w:rsidRPr="004776FF">
        <w:rPr>
          <w:i/>
        </w:rPr>
        <w:t>Baldacchino</w:t>
      </w:r>
      <w:proofErr w:type="spellEnd"/>
      <w:r w:rsidRPr="004776FF">
        <w:t xml:space="preserve"> as the focal point inside the cathedral, St. Peter</w:t>
      </w:r>
      <w:r>
        <w:t>’</w:t>
      </w:r>
      <w:r w:rsidRPr="004776FF">
        <w:t>s expressed the theatricality of the Baroque period.</w:t>
      </w:r>
    </w:p>
    <w:p w14:paraId="2AAA297D" w14:textId="3135FE73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Francesco Borromini</w:t>
      </w:r>
      <w:r>
        <w:t>’</w:t>
      </w:r>
      <w:r w:rsidRPr="004776FF">
        <w:t xml:space="preserve">s façade for San Carlo </w:t>
      </w:r>
      <w:proofErr w:type="spellStart"/>
      <w:r w:rsidRPr="004776FF">
        <w:t>alle</w:t>
      </w:r>
      <w:proofErr w:type="spellEnd"/>
      <w:r w:rsidRPr="004776FF">
        <w:t xml:space="preserve"> Quattro Fontane (19.17) exemplifies the theatricality of the Baroque period, with a merger of architectural and sculptural elements. </w:t>
      </w:r>
    </w:p>
    <w:p w14:paraId="1731A362" w14:textId="77777777" w:rsidR="002B04BB" w:rsidRDefault="005F096B" w:rsidP="002B04BB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</w:pPr>
      <w:r w:rsidRPr="004776FF">
        <w:t xml:space="preserve">The ornate Santa Maria </w:t>
      </w:r>
      <w:proofErr w:type="spellStart"/>
      <w:r w:rsidRPr="004776FF">
        <w:t>della</w:t>
      </w:r>
      <w:proofErr w:type="spellEnd"/>
      <w:r w:rsidRPr="004776FF">
        <w:t xml:space="preserve"> Salute (19.28) in Venice also exemplifies the architecture of this period.</w:t>
      </w:r>
    </w:p>
    <w:p w14:paraId="7E04976D" w14:textId="77777777" w:rsidR="002B04BB" w:rsidRDefault="002B04BB" w:rsidP="002B04BB">
      <w:pPr>
        <w:spacing w:after="0" w:line="240" w:lineRule="auto"/>
      </w:pPr>
    </w:p>
    <w:p w14:paraId="68FD4102" w14:textId="0492C25B" w:rsidR="005F096B" w:rsidRPr="004776FF" w:rsidRDefault="005F096B" w:rsidP="002B04BB">
      <w:pPr>
        <w:pStyle w:val="Heading1"/>
      </w:pPr>
      <w:r w:rsidRPr="004776FF">
        <w:t>Sculpture in Italy</w:t>
      </w:r>
    </w:p>
    <w:p w14:paraId="4C030516" w14:textId="7D36A011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Bernini</w:t>
      </w:r>
      <w:r>
        <w:t>’</w:t>
      </w:r>
      <w:r w:rsidRPr="004776FF">
        <w:t xml:space="preserve">s </w:t>
      </w:r>
      <w:r w:rsidRPr="004776FF">
        <w:rPr>
          <w:i/>
        </w:rPr>
        <w:t>David</w:t>
      </w:r>
      <w:r w:rsidRPr="004776FF">
        <w:t xml:space="preserve"> expresses the theatricality of the period. This work was not meant to stand alone as others, such as Donatello</w:t>
      </w:r>
      <w:r>
        <w:t>’</w:t>
      </w:r>
      <w:r w:rsidRPr="004776FF">
        <w:t xml:space="preserve">s </w:t>
      </w:r>
      <w:r w:rsidRPr="004776FF">
        <w:rPr>
          <w:i/>
        </w:rPr>
        <w:t xml:space="preserve">David </w:t>
      </w:r>
      <w:r w:rsidRPr="004776FF">
        <w:t xml:space="preserve">(19.30), had before. Instead the presence of Goliath is </w:t>
      </w:r>
      <w:proofErr w:type="gramStart"/>
      <w:r w:rsidRPr="004776FF">
        <w:t>implied</w:t>
      </w:r>
      <w:proofErr w:type="gramEnd"/>
      <w:r w:rsidRPr="004776FF">
        <w:t xml:space="preserve"> and the action is not complete, but is in the process of unfolding.</w:t>
      </w:r>
    </w:p>
    <w:p w14:paraId="2AE6F123" w14:textId="77777777" w:rsidR="005F096B" w:rsidRPr="004776FF" w:rsidRDefault="005F096B" w:rsidP="002B04BB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This element of theatricality is perhaps best expressed in Bernini</w:t>
      </w:r>
      <w:r>
        <w:t>’</w:t>
      </w:r>
      <w:r w:rsidRPr="004776FF">
        <w:t xml:space="preserve">s </w:t>
      </w:r>
      <w:r w:rsidRPr="004776FF">
        <w:rPr>
          <w:i/>
        </w:rPr>
        <w:t xml:space="preserve">The Ecstasy of </w:t>
      </w:r>
    </w:p>
    <w:p w14:paraId="78BDA4E0" w14:textId="77777777" w:rsidR="005F096B" w:rsidRPr="004776FF" w:rsidRDefault="005F096B" w:rsidP="005F096B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ind w:left="360"/>
      </w:pPr>
      <w:r w:rsidRPr="004776FF">
        <w:rPr>
          <w:i/>
        </w:rPr>
        <w:t xml:space="preserve">St. Theresa </w:t>
      </w:r>
      <w:r w:rsidRPr="004776FF">
        <w:t xml:space="preserve">(19.31). The audience, members of the </w:t>
      </w:r>
      <w:proofErr w:type="spellStart"/>
      <w:r w:rsidRPr="004776FF">
        <w:t>Cornaro</w:t>
      </w:r>
      <w:proofErr w:type="spellEnd"/>
      <w:r w:rsidRPr="004776FF">
        <w:t xml:space="preserve"> family portrayed as relief sculptures in theater boxes, are provided as well, completing the illusion.</w:t>
      </w:r>
    </w:p>
    <w:p w14:paraId="1E6B2B6D" w14:textId="77777777" w:rsidR="005F096B" w:rsidRPr="004776FF" w:rsidRDefault="005F096B" w:rsidP="005F096B"/>
    <w:p w14:paraId="5996756B" w14:textId="342C643F" w:rsidR="005F096B" w:rsidRPr="00DF4FDB" w:rsidRDefault="005F096B" w:rsidP="005F096B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2B04BB">
        <w:rPr>
          <w:rStyle w:val="Heading1Char"/>
        </w:rPr>
        <w:lastRenderedPageBreak/>
        <w:t>Painting in Spain</w:t>
      </w:r>
    </w:p>
    <w:p w14:paraId="76BA7782" w14:textId="56ACA214" w:rsidR="005F096B" w:rsidRPr="004776FF" w:rsidRDefault="005F096B" w:rsidP="002B04BB">
      <w:pPr>
        <w:numPr>
          <w:ilvl w:val="0"/>
          <w:numId w:val="3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The Spanish court preferred to commission foreign artists over native artist</w:t>
      </w:r>
      <w:r>
        <w:t>s</w:t>
      </w:r>
      <w:r w:rsidRPr="004776FF">
        <w:t xml:space="preserve">. This resulted in a strong artistic influence from Italy and the Netherlands. As such, Spanish Baroque art was heavily influenced by </w:t>
      </w:r>
      <w:proofErr w:type="spellStart"/>
      <w:r w:rsidRPr="004776FF">
        <w:t>Caravaggism</w:t>
      </w:r>
      <w:proofErr w:type="spellEnd"/>
      <w:r w:rsidRPr="004776FF">
        <w:t>.</w:t>
      </w:r>
      <w:bookmarkStart w:id="0" w:name="_GoBack"/>
      <w:bookmarkEnd w:id="0"/>
    </w:p>
    <w:p w14:paraId="6A87A93D" w14:textId="77777777" w:rsidR="005F096B" w:rsidRPr="004776FF" w:rsidRDefault="005F096B" w:rsidP="002B04BB">
      <w:pPr>
        <w:numPr>
          <w:ilvl w:val="0"/>
          <w:numId w:val="3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The naturalism which was a hallmark of </w:t>
      </w:r>
      <w:proofErr w:type="spellStart"/>
      <w:r w:rsidRPr="004776FF">
        <w:t>Caravaggism</w:t>
      </w:r>
      <w:proofErr w:type="spellEnd"/>
      <w:r w:rsidRPr="004776FF">
        <w:t xml:space="preserve"> is expressed in a harsher manner in Spain, with a stronger light cast on the subjects of the paintings.</w:t>
      </w:r>
    </w:p>
    <w:p w14:paraId="7F47D4A0" w14:textId="77777777" w:rsidR="005F096B" w:rsidRPr="001C07B5" w:rsidRDefault="005F096B" w:rsidP="005F096B">
      <w:pPr>
        <w:pStyle w:val="Footer"/>
        <w:tabs>
          <w:tab w:val="clear" w:pos="4320"/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</w:p>
    <w:sectPr w:rsidR="005F096B" w:rsidRPr="001C07B5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E293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0894D93"/>
    <w:multiLevelType w:val="hybridMultilevel"/>
    <w:tmpl w:val="860E6296"/>
    <w:lvl w:ilvl="0" w:tplc="654C9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649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0C0BF5"/>
    <w:rsid w:val="00100C63"/>
    <w:rsid w:val="00115BBB"/>
    <w:rsid w:val="00137115"/>
    <w:rsid w:val="00137603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86710"/>
    <w:rsid w:val="005E731A"/>
    <w:rsid w:val="005F096B"/>
    <w:rsid w:val="005F7293"/>
    <w:rsid w:val="00606DB2"/>
    <w:rsid w:val="006160F4"/>
    <w:rsid w:val="006173FD"/>
    <w:rsid w:val="006552B1"/>
    <w:rsid w:val="00677CE4"/>
    <w:rsid w:val="006839A1"/>
    <w:rsid w:val="00692425"/>
    <w:rsid w:val="006C132A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156B5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262FB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F201D"/>
    <w:rsid w:val="00D9646A"/>
    <w:rsid w:val="00D96F40"/>
    <w:rsid w:val="00DA0FCE"/>
    <w:rsid w:val="00DB0DD8"/>
    <w:rsid w:val="00E114B7"/>
    <w:rsid w:val="00E14204"/>
    <w:rsid w:val="00E15DBA"/>
    <w:rsid w:val="00EC3984"/>
    <w:rsid w:val="00F22F5E"/>
    <w:rsid w:val="00F60624"/>
    <w:rsid w:val="00F713CB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2019-07-29T03:24:00Z</dcterms:created>
  <dcterms:modified xsi:type="dcterms:W3CDTF">2019-07-29T03:24:00Z</dcterms:modified>
</cp:coreProperties>
</file>