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6241F2" w14:textId="39D77EF0" w:rsidR="004B6424" w:rsidRDefault="004B6424" w:rsidP="004B6424">
      <w:pPr>
        <w:pStyle w:val="Title"/>
      </w:pPr>
      <w:bookmarkStart w:id="0" w:name="_GoBack"/>
      <w:r w:rsidRPr="004776FF">
        <w:t>CHAPTER TWENTY</w:t>
      </w:r>
      <w:r>
        <w:t>:</w:t>
      </w:r>
    </w:p>
    <w:p w14:paraId="7F88A8EB" w14:textId="77777777" w:rsidR="004B6424" w:rsidRPr="004776FF" w:rsidRDefault="004B6424" w:rsidP="004B6424">
      <w:pPr>
        <w:pStyle w:val="Title"/>
      </w:pPr>
      <w:r w:rsidRPr="00905994">
        <w:rPr>
          <w:szCs w:val="36"/>
        </w:rPr>
        <w:t>THE BAROQUE IN THE NETHERLANDS</w:t>
      </w:r>
    </w:p>
    <w:p w14:paraId="0A5C6176" w14:textId="32536449" w:rsidR="00D62EC3" w:rsidRPr="004776FF" w:rsidRDefault="004B6424" w:rsidP="00D62EC3">
      <w:pPr>
        <w:pStyle w:val="Heading1"/>
      </w:pPr>
      <w:r w:rsidRPr="00D62EC3">
        <w:t>Flanders</w:t>
      </w:r>
    </w:p>
    <w:p w14:paraId="1513B0BB" w14:textId="443B1405"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 xml:space="preserve">Rubens, whose work was informed by the style of Michelangelo, Caravaggio, and Titian, dominated the Flemish art market in the seventeenth-century with his religious works and portraits in high demand.  </w:t>
      </w:r>
    </w:p>
    <w:p w14:paraId="2F6FA6A3" w14:textId="297BD2F1"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 xml:space="preserve">Rubens characterized the </w:t>
      </w:r>
      <w:r>
        <w:t>“</w:t>
      </w:r>
      <w:r w:rsidRPr="004776FF">
        <w:t>virtuoso artist</w:t>
      </w:r>
      <w:r>
        <w:t>”</w:t>
      </w:r>
      <w:r w:rsidRPr="004776FF">
        <w:t xml:space="preserve"> of the Baroque period, having traveled extensively, speaking several languages, and being well read. After being trained in Antwerp, Rubens traveled to Italy where he studied the Italian artistic traditions for eight years before returning to Flanders.</w:t>
      </w:r>
    </w:p>
    <w:p w14:paraId="69589799" w14:textId="0E583A33"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 xml:space="preserve">The Baroque style was transmitted to Holland through Rubens and artistic contact with </w:t>
      </w:r>
      <w:proofErr w:type="spellStart"/>
      <w:r w:rsidRPr="004776FF">
        <w:t>Caravaggism</w:t>
      </w:r>
      <w:proofErr w:type="spellEnd"/>
      <w:r w:rsidRPr="004776FF">
        <w:t>.</w:t>
      </w:r>
    </w:p>
    <w:p w14:paraId="1338FB27" w14:textId="48BE9C2F"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Rubens</w:t>
      </w:r>
      <w:r>
        <w:t>’</w:t>
      </w:r>
      <w:r w:rsidRPr="004776FF">
        <w:t xml:space="preserve"> </w:t>
      </w:r>
      <w:r w:rsidRPr="004776FF">
        <w:rPr>
          <w:i/>
        </w:rPr>
        <w:t>The Garden of Love</w:t>
      </w:r>
      <w:r w:rsidRPr="004776FF">
        <w:t xml:space="preserve"> (20.6) and the </w:t>
      </w:r>
      <w:r w:rsidRPr="004776FF">
        <w:rPr>
          <w:i/>
        </w:rPr>
        <w:t>Marie de</w:t>
      </w:r>
      <w:r>
        <w:rPr>
          <w:i/>
        </w:rPr>
        <w:t>’</w:t>
      </w:r>
      <w:r w:rsidRPr="004776FF">
        <w:rPr>
          <w:i/>
        </w:rPr>
        <w:t xml:space="preserve"> Medici </w:t>
      </w:r>
      <w:r w:rsidRPr="004776FF">
        <w:t>(20.5) cycle influenced later eighteenth-century Rococo painting.</w:t>
      </w:r>
    </w:p>
    <w:p w14:paraId="0C07BBC5" w14:textId="537A8DFD"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Anthony van Dyck, Rubens</w:t>
      </w:r>
      <w:r>
        <w:t>’</w:t>
      </w:r>
      <w:r w:rsidRPr="004776FF">
        <w:t xml:space="preserve"> student, was primarily a portraitist, becoming the court painter for Charles I.</w:t>
      </w:r>
    </w:p>
    <w:p w14:paraId="6CED1DC8" w14:textId="69F20912"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Still life painting was very popular in Flanders, including flower and food subjects.</w:t>
      </w:r>
    </w:p>
    <w:p w14:paraId="2CBBB73A" w14:textId="602B04FE" w:rsidR="00D62EC3" w:rsidRPr="004776FF" w:rsidRDefault="00D62EC3" w:rsidP="00D62EC3">
      <w:pPr>
        <w:pStyle w:val="Heading1"/>
      </w:pPr>
      <w:r w:rsidRPr="00D62EC3">
        <w:t>The Dutch Republic</w:t>
      </w:r>
    </w:p>
    <w:p w14:paraId="61E2D9FD" w14:textId="023E6E10"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 xml:space="preserve">There were many artistic communities in the Dutch Republic, including Haarlem, Utrecht, Amsterdam, and Delft. Most artists were associated with one area, with Frans Hals in Haarlem, Hendrick </w:t>
      </w:r>
      <w:proofErr w:type="spellStart"/>
      <w:r w:rsidRPr="004776FF">
        <w:t>Terbrugghen</w:t>
      </w:r>
      <w:proofErr w:type="spellEnd"/>
      <w:r w:rsidRPr="004776FF">
        <w:t xml:space="preserve"> in Utrecht, Rembrandt van Rijn in Amsterdam, and Jan Vermeer in Delft.</w:t>
      </w:r>
    </w:p>
    <w:p w14:paraId="44D4AD48" w14:textId="2C12F49C"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In Haarlem</w:t>
      </w:r>
      <w:r>
        <w:t>,</w:t>
      </w:r>
      <w:r w:rsidRPr="004776FF">
        <w:t xml:space="preserve"> the focus was on portraits and genre painting with innovations in brushstroke and portraiture. This can be seen in Frans Hals</w:t>
      </w:r>
      <w:r>
        <w:t>’</w:t>
      </w:r>
      <w:r w:rsidRPr="004776FF">
        <w:t xml:space="preserve"> </w:t>
      </w:r>
      <w:r w:rsidRPr="004776FF">
        <w:rPr>
          <w:i/>
        </w:rPr>
        <w:t>Banquet of the Officers of the St. George Civic Guard</w:t>
      </w:r>
      <w:r w:rsidRPr="004776FF">
        <w:t xml:space="preserve"> (20.16) and </w:t>
      </w:r>
      <w:r w:rsidRPr="004776FF">
        <w:rPr>
          <w:i/>
        </w:rPr>
        <w:t xml:space="preserve">Married Couple in a Garden </w:t>
      </w:r>
      <w:r w:rsidRPr="004776FF">
        <w:t>(20.17). In the</w:t>
      </w:r>
      <w:r w:rsidRPr="004776FF">
        <w:rPr>
          <w:i/>
        </w:rPr>
        <w:t xml:space="preserve"> </w:t>
      </w:r>
      <w:r w:rsidRPr="004776FF">
        <w:t xml:space="preserve">first, Hals uses a three-dimensional paint modeling using a </w:t>
      </w:r>
      <w:r>
        <w:t>“</w:t>
      </w:r>
      <w:r w:rsidRPr="004776FF">
        <w:t>wet-in-wet</w:t>
      </w:r>
      <w:r>
        <w:t>”</w:t>
      </w:r>
      <w:r w:rsidRPr="004776FF">
        <w:t xml:space="preserve"> technique, and in the </w:t>
      </w:r>
      <w:r w:rsidRPr="004776FF">
        <w:rPr>
          <w:i/>
        </w:rPr>
        <w:t>Married Couple</w:t>
      </w:r>
      <w:r w:rsidRPr="004776FF">
        <w:t xml:space="preserve"> the couple is off center, adding to the realism of the work. This sense of immediacy is heightened by </w:t>
      </w:r>
      <w:proofErr w:type="spellStart"/>
      <w:r w:rsidRPr="004776FF">
        <w:t>Issac</w:t>
      </w:r>
      <w:proofErr w:type="spellEnd"/>
      <w:r w:rsidRPr="004776FF">
        <w:t xml:space="preserve"> Massa</w:t>
      </w:r>
      <w:r>
        <w:t>’</w:t>
      </w:r>
      <w:r w:rsidRPr="004776FF">
        <w:t xml:space="preserve">s open mouth as he is caught in mid-speech. </w:t>
      </w:r>
    </w:p>
    <w:p w14:paraId="148DECE2" w14:textId="04A4D423"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 xml:space="preserve">Judith Leyster was the most well-known follower of Hals, excelling in portrait and genre painting. Her depiction of herself painting in her </w:t>
      </w:r>
      <w:r w:rsidRPr="004776FF">
        <w:rPr>
          <w:i/>
        </w:rPr>
        <w:t xml:space="preserve">Self-Portrait I </w:t>
      </w:r>
      <w:r w:rsidRPr="004776FF">
        <w:t>(20.19) underscores her position as an artist.</w:t>
      </w:r>
    </w:p>
    <w:p w14:paraId="23C55CDD" w14:textId="77777777"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By the mid-seventeenth century</w:t>
      </w:r>
      <w:r>
        <w:t>,</w:t>
      </w:r>
      <w:r w:rsidRPr="004776FF">
        <w:t xml:space="preserve"> Rembrandt was the most sought-after portraitist in Amsterdam. Rembrandts technique uses </w:t>
      </w:r>
      <w:r w:rsidRPr="004776FF">
        <w:rPr>
          <w:i/>
        </w:rPr>
        <w:t>impasto</w:t>
      </w:r>
      <w:r w:rsidRPr="004776FF">
        <w:t xml:space="preserve">—a heavy layering of the paint to achieve greater texture. </w:t>
      </w:r>
    </w:p>
    <w:p w14:paraId="65885E0E" w14:textId="77777777" w:rsidR="00D62EC3" w:rsidRPr="004776FF" w:rsidRDefault="00D62EC3" w:rsidP="00D62EC3"/>
    <w:p w14:paraId="6012C7EF" w14:textId="599E051F" w:rsidR="00D62EC3" w:rsidRPr="00D62EC3" w:rsidRDefault="00D62EC3" w:rsidP="00D62EC3">
      <w:pPr>
        <w:rPr>
          <w:b/>
        </w:rPr>
      </w:pPr>
      <w:r w:rsidRPr="00D62EC3">
        <w:rPr>
          <w:rStyle w:val="Heading1Char"/>
        </w:rPr>
        <w:t>The Market: Landscape, Still-Life, and Genre Painting</w:t>
      </w:r>
    </w:p>
    <w:p w14:paraId="4B8CFB35" w14:textId="18F2F013"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Dutch art was characterized by landscape painting, the still-life, and genre painting. Unlike works in Italy which were commissioned works, many Northern European artworks were</w:t>
      </w:r>
      <w:r>
        <w:t xml:space="preserve"> </w:t>
      </w:r>
      <w:r w:rsidRPr="004776FF">
        <w:t xml:space="preserve">painted with the intention of selling them on the open market. </w:t>
      </w:r>
    </w:p>
    <w:p w14:paraId="7A8E02DB" w14:textId="3AF0C97E"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lastRenderedPageBreak/>
        <w:t>Many of these works were small in scale, suitable to display in a home.</w:t>
      </w:r>
    </w:p>
    <w:p w14:paraId="57080700" w14:textId="53F898D2"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 xml:space="preserve">The still life rose to new prominence during this period, with the popularity of the </w:t>
      </w:r>
      <w:r w:rsidRPr="004776FF">
        <w:rPr>
          <w:i/>
        </w:rPr>
        <w:t>vanitas</w:t>
      </w:r>
      <w:r w:rsidRPr="004776FF">
        <w:t xml:space="preserve"> still life in which the composition of the painting—an overturned cup, an unfinished meal—spoke to the shortness of life.</w:t>
      </w:r>
    </w:p>
    <w:p w14:paraId="52A5FC5B" w14:textId="7406E85A" w:rsidR="00D62EC3" w:rsidRPr="004776FF"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Jan Steen</w:t>
      </w:r>
      <w:r>
        <w:t>’</w:t>
      </w:r>
      <w:r w:rsidRPr="004776FF">
        <w:t>s genre paintings were intended to tell a moral story.</w:t>
      </w:r>
    </w:p>
    <w:p w14:paraId="71EC1E89" w14:textId="2B03F90D" w:rsidR="00D62EC3" w:rsidRPr="004B6424" w:rsidRDefault="00D62EC3" w:rsidP="00D62EC3">
      <w:pPr>
        <w:numPr>
          <w:ilvl w:val="0"/>
          <w:numId w:val="1"/>
        </w:numPr>
        <w:tabs>
          <w:tab w:val="left" w:pos="450"/>
          <w:tab w:val="left" w:pos="810"/>
          <w:tab w:val="left" w:pos="1710"/>
          <w:tab w:val="left" w:pos="4950"/>
          <w:tab w:val="left" w:pos="7020"/>
          <w:tab w:val="left" w:pos="8640"/>
        </w:tabs>
        <w:spacing w:after="0" w:line="240" w:lineRule="auto"/>
      </w:pPr>
      <w:r w:rsidRPr="004776FF">
        <w:t>Jan Vermeer</w:t>
      </w:r>
      <w:r>
        <w:t>’</w:t>
      </w:r>
      <w:r w:rsidRPr="004776FF">
        <w:t xml:space="preserve">s work is characterized by inside scenes and light which often enters through a window. To create these effects, Vermeer may have used a </w:t>
      </w:r>
      <w:r w:rsidRPr="004776FF">
        <w:rPr>
          <w:i/>
        </w:rPr>
        <w:t>camera obscura</w:t>
      </w:r>
      <w:r w:rsidRPr="004776FF">
        <w:t>.</w:t>
      </w:r>
      <w:bookmarkEnd w:id="0"/>
    </w:p>
    <w:sectPr w:rsidR="00D62EC3" w:rsidRPr="004B6424" w:rsidSect="00F84C00">
      <w:pgSz w:w="12240" w:h="15840"/>
      <w:pgMar w:top="1440" w:right="1800" w:bottom="1440" w:left="1800" w:header="720" w:footer="720" w:gutter="0"/>
      <w:pgNumType w:start="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5638D9"/>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4"/>
    <w:rsid w:val="00037A94"/>
    <w:rsid w:val="000A52BA"/>
    <w:rsid w:val="000C0BF5"/>
    <w:rsid w:val="00100C63"/>
    <w:rsid w:val="00115BBB"/>
    <w:rsid w:val="00137115"/>
    <w:rsid w:val="00137603"/>
    <w:rsid w:val="00180445"/>
    <w:rsid w:val="001B0D9F"/>
    <w:rsid w:val="001C07B5"/>
    <w:rsid w:val="001C18BE"/>
    <w:rsid w:val="001D48A1"/>
    <w:rsid w:val="001D5989"/>
    <w:rsid w:val="0022276A"/>
    <w:rsid w:val="00257B7D"/>
    <w:rsid w:val="00277CE9"/>
    <w:rsid w:val="002B04BB"/>
    <w:rsid w:val="002B15D8"/>
    <w:rsid w:val="002D1A83"/>
    <w:rsid w:val="00315A3B"/>
    <w:rsid w:val="00320727"/>
    <w:rsid w:val="00325714"/>
    <w:rsid w:val="00342FFC"/>
    <w:rsid w:val="003501A1"/>
    <w:rsid w:val="0039142C"/>
    <w:rsid w:val="003C659E"/>
    <w:rsid w:val="00412E33"/>
    <w:rsid w:val="00420048"/>
    <w:rsid w:val="00433A91"/>
    <w:rsid w:val="00445269"/>
    <w:rsid w:val="00453344"/>
    <w:rsid w:val="00485842"/>
    <w:rsid w:val="004B6424"/>
    <w:rsid w:val="004D6372"/>
    <w:rsid w:val="004D7A23"/>
    <w:rsid w:val="004E1F9B"/>
    <w:rsid w:val="004F2F84"/>
    <w:rsid w:val="00515EF4"/>
    <w:rsid w:val="00525BB9"/>
    <w:rsid w:val="00566D72"/>
    <w:rsid w:val="00586710"/>
    <w:rsid w:val="00594102"/>
    <w:rsid w:val="005E731A"/>
    <w:rsid w:val="005F096B"/>
    <w:rsid w:val="005F7293"/>
    <w:rsid w:val="00606DB2"/>
    <w:rsid w:val="006160F4"/>
    <w:rsid w:val="006173FD"/>
    <w:rsid w:val="006552B1"/>
    <w:rsid w:val="00677CE4"/>
    <w:rsid w:val="006839A1"/>
    <w:rsid w:val="00692425"/>
    <w:rsid w:val="006C132A"/>
    <w:rsid w:val="006E2EF4"/>
    <w:rsid w:val="006E442C"/>
    <w:rsid w:val="006F01C1"/>
    <w:rsid w:val="0070482D"/>
    <w:rsid w:val="007070C0"/>
    <w:rsid w:val="00746BF8"/>
    <w:rsid w:val="00765204"/>
    <w:rsid w:val="00790F6F"/>
    <w:rsid w:val="00793CA5"/>
    <w:rsid w:val="0079793C"/>
    <w:rsid w:val="007C71C9"/>
    <w:rsid w:val="007F7421"/>
    <w:rsid w:val="008156B5"/>
    <w:rsid w:val="0082040A"/>
    <w:rsid w:val="008D5579"/>
    <w:rsid w:val="008E181B"/>
    <w:rsid w:val="008F0D2A"/>
    <w:rsid w:val="008F32C6"/>
    <w:rsid w:val="009360E6"/>
    <w:rsid w:val="0094280D"/>
    <w:rsid w:val="0095288D"/>
    <w:rsid w:val="0097246D"/>
    <w:rsid w:val="009D31E4"/>
    <w:rsid w:val="009E201E"/>
    <w:rsid w:val="00A027EE"/>
    <w:rsid w:val="00A22E95"/>
    <w:rsid w:val="00A32EDE"/>
    <w:rsid w:val="00A52513"/>
    <w:rsid w:val="00AC0E51"/>
    <w:rsid w:val="00B157F7"/>
    <w:rsid w:val="00B262FB"/>
    <w:rsid w:val="00BC32A2"/>
    <w:rsid w:val="00C179B9"/>
    <w:rsid w:val="00C51433"/>
    <w:rsid w:val="00C5244C"/>
    <w:rsid w:val="00C56212"/>
    <w:rsid w:val="00C66168"/>
    <w:rsid w:val="00C71F03"/>
    <w:rsid w:val="00C8114D"/>
    <w:rsid w:val="00CA275A"/>
    <w:rsid w:val="00CD485E"/>
    <w:rsid w:val="00CF201D"/>
    <w:rsid w:val="00D62EC3"/>
    <w:rsid w:val="00D9646A"/>
    <w:rsid w:val="00D96F40"/>
    <w:rsid w:val="00DA0FCE"/>
    <w:rsid w:val="00DB0DD8"/>
    <w:rsid w:val="00E114B7"/>
    <w:rsid w:val="00E14204"/>
    <w:rsid w:val="00E15DBA"/>
    <w:rsid w:val="00EC3984"/>
    <w:rsid w:val="00F22F5E"/>
    <w:rsid w:val="00F60624"/>
    <w:rsid w:val="00F713CB"/>
    <w:rsid w:val="00F84C00"/>
    <w:rsid w:val="00F84F2D"/>
    <w:rsid w:val="00FD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03BA"/>
  <w15:chartTrackingRefBased/>
  <w15:docId w15:val="{F40AA3E3-5B62-492B-9571-25612038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212"/>
  </w:style>
  <w:style w:type="paragraph" w:styleId="Heading1">
    <w:name w:val="heading 1"/>
    <w:basedOn w:val="Normal"/>
    <w:next w:val="Normal"/>
    <w:link w:val="Heading1Char"/>
    <w:uiPriority w:val="9"/>
    <w:qFormat/>
    <w:rsid w:val="00C56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D48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525B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793CA5"/>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793CA5"/>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12"/>
    <w:pPr>
      <w:spacing w:after="0" w:line="240" w:lineRule="auto"/>
    </w:pPr>
    <w:rPr>
      <w:sz w:val="24"/>
    </w:rPr>
  </w:style>
  <w:style w:type="paragraph" w:customStyle="1" w:styleId="AuthorBio">
    <w:name w:val="Author Bio"/>
    <w:basedOn w:val="Heading1"/>
    <w:qFormat/>
    <w:rsid w:val="00C51433"/>
    <w:rPr>
      <w:b/>
      <w:i/>
      <w:noProof/>
      <w:color w:val="F7CAAC" w:themeColor="accent2" w:themeTint="66"/>
    </w:rPr>
  </w:style>
  <w:style w:type="character" w:customStyle="1" w:styleId="Heading1Char">
    <w:name w:val="Heading 1 Char"/>
    <w:basedOn w:val="DefaultParagraphFont"/>
    <w:link w:val="Heading1"/>
    <w:uiPriority w:val="9"/>
    <w:rsid w:val="00C56212"/>
    <w:rPr>
      <w:rFonts w:asciiTheme="majorHAnsi" w:eastAsiaTheme="majorEastAsia" w:hAnsiTheme="majorHAnsi" w:cstheme="majorBidi"/>
      <w:color w:val="2E74B5" w:themeColor="accent1" w:themeShade="BF"/>
      <w:sz w:val="32"/>
      <w:szCs w:val="32"/>
    </w:rPr>
  </w:style>
  <w:style w:type="paragraph" w:customStyle="1" w:styleId="BackMatterTitle">
    <w:name w:val="Back Matter Title"/>
    <w:basedOn w:val="AuthorBio"/>
    <w:qFormat/>
    <w:rsid w:val="00C51433"/>
    <w:rPr>
      <w:i w:val="0"/>
      <w:color w:val="833C0B" w:themeColor="accent2" w:themeShade="80"/>
      <w:sz w:val="28"/>
    </w:rPr>
  </w:style>
  <w:style w:type="character" w:customStyle="1" w:styleId="Heading2Char">
    <w:name w:val="Heading 2 Char"/>
    <w:basedOn w:val="DefaultParagraphFont"/>
    <w:link w:val="Heading2"/>
    <w:uiPriority w:val="9"/>
    <w:rsid w:val="00A027E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25BB9"/>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rsid w:val="00793CA5"/>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793CA5"/>
    <w:rPr>
      <w:rFonts w:ascii="Times New Roman" w:eastAsia="Times New Roman" w:hAnsi="Times New Roman" w:cs="Times New Roman"/>
      <w:b/>
      <w:bCs/>
    </w:rPr>
  </w:style>
  <w:style w:type="paragraph" w:styleId="Title">
    <w:name w:val="Title"/>
    <w:basedOn w:val="Normal"/>
    <w:next w:val="Normal"/>
    <w:link w:val="TitleChar"/>
    <w:qFormat/>
    <w:rsid w:val="00DB0D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0DD8"/>
    <w:rPr>
      <w:rFonts w:eastAsiaTheme="minorEastAsia"/>
      <w:color w:val="5A5A5A" w:themeColor="text1" w:themeTint="A5"/>
      <w:spacing w:val="15"/>
    </w:rPr>
  </w:style>
  <w:style w:type="paragraph" w:styleId="ListParagraph">
    <w:name w:val="List Paragraph"/>
    <w:basedOn w:val="Normal"/>
    <w:qFormat/>
    <w:rsid w:val="00DB0DD8"/>
    <w:pPr>
      <w:ind w:left="720"/>
      <w:contextualSpacing/>
    </w:pPr>
  </w:style>
  <w:style w:type="character" w:styleId="Hyperlink">
    <w:name w:val="Hyperlink"/>
    <w:basedOn w:val="DefaultParagraphFont"/>
    <w:rsid w:val="0070482D"/>
    <w:rPr>
      <w:color w:val="0000FF"/>
      <w:u w:val="single"/>
    </w:rPr>
  </w:style>
  <w:style w:type="paragraph" w:styleId="Footer">
    <w:name w:val="footer"/>
    <w:basedOn w:val="Normal"/>
    <w:link w:val="FooterChar"/>
    <w:rsid w:val="0070482D"/>
    <w:pPr>
      <w:tabs>
        <w:tab w:val="center" w:pos="4320"/>
        <w:tab w:val="right" w:pos="8640"/>
      </w:tabs>
      <w:spacing w:after="0" w:line="240" w:lineRule="auto"/>
    </w:pPr>
    <w:rPr>
      <w:rFonts w:ascii="Century Schoolbook" w:eastAsia="Times New Roman" w:hAnsi="Century Schoolbook" w:cs="Times New Roman"/>
      <w:sz w:val="24"/>
      <w:szCs w:val="20"/>
    </w:rPr>
  </w:style>
  <w:style w:type="character" w:customStyle="1" w:styleId="FooterChar">
    <w:name w:val="Footer Char"/>
    <w:basedOn w:val="DefaultParagraphFont"/>
    <w:link w:val="Footer"/>
    <w:rsid w:val="0070482D"/>
    <w:rPr>
      <w:rFonts w:ascii="Century Schoolbook" w:eastAsia="Times New Roman" w:hAnsi="Century Schoolbook" w:cs="Times New Roman"/>
      <w:sz w:val="24"/>
      <w:szCs w:val="20"/>
    </w:rPr>
  </w:style>
  <w:style w:type="character" w:customStyle="1" w:styleId="Heading3Char">
    <w:name w:val="Heading 3 Char"/>
    <w:basedOn w:val="DefaultParagraphFont"/>
    <w:link w:val="Heading3"/>
    <w:rsid w:val="00CD485E"/>
    <w:rPr>
      <w:rFonts w:ascii="Arial" w:eastAsia="Times New Roman"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445</Words>
  <Characters>2539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The Old Stone Age Study Guide</vt:lpstr>
    </vt:vector>
  </TitlesOfParts>
  <Company>Hewlett-Packard Company</Company>
  <LinksUpToDate>false</LinksUpToDate>
  <CharactersWithSpaces>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Stone Age Study Guide</dc:title>
  <dc:subject/>
  <dc:creator>Karen Duncan</dc:creator>
  <cp:keywords/>
  <dc:description/>
  <cp:lastModifiedBy>Liliya Zalevskaya</cp:lastModifiedBy>
  <cp:revision>2</cp:revision>
  <dcterms:created xsi:type="dcterms:W3CDTF">2019-07-29T03:42:00Z</dcterms:created>
  <dcterms:modified xsi:type="dcterms:W3CDTF">2019-07-29T03:42:00Z</dcterms:modified>
</cp:coreProperties>
</file>