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E23F7" w14:textId="42F61F22" w:rsidR="00345674" w:rsidRPr="00345674" w:rsidRDefault="00345674" w:rsidP="00345674">
      <w:pPr>
        <w:pStyle w:val="Title"/>
      </w:pPr>
      <w:r w:rsidRPr="00345674">
        <w:t>CHAPTER TWENTY-SIX</w:t>
      </w:r>
      <w:r>
        <w:t>:</w:t>
      </w:r>
    </w:p>
    <w:p w14:paraId="74669B29" w14:textId="77777777" w:rsidR="00345674" w:rsidRPr="00345674" w:rsidRDefault="00345674" w:rsidP="00345674">
      <w:pPr>
        <w:pStyle w:val="Title"/>
      </w:pPr>
      <w:r w:rsidRPr="00345674">
        <w:t>PROGRESS AND ITS DISCONTENTS:</w:t>
      </w:r>
    </w:p>
    <w:p w14:paraId="1F5B6B55" w14:textId="77777777" w:rsidR="00345674" w:rsidRPr="00345674" w:rsidRDefault="00345674" w:rsidP="00345674">
      <w:pPr>
        <w:pStyle w:val="Title"/>
      </w:pPr>
      <w:r w:rsidRPr="00345674">
        <w:t>POST-IMPRESSIONISM, SYMBOLISM, AND ART NOVEAU, 1880-1905</w:t>
      </w:r>
    </w:p>
    <w:p w14:paraId="30F504E5" w14:textId="77777777" w:rsidR="00345674" w:rsidRPr="00E74AF3" w:rsidRDefault="00345674" w:rsidP="00345674"/>
    <w:p w14:paraId="42C98C60" w14:textId="2C5BC426" w:rsidR="00345674" w:rsidRPr="004776FF" w:rsidRDefault="00345674" w:rsidP="00345674">
      <w:r w:rsidRPr="00345674">
        <w:rPr>
          <w:rStyle w:val="Heading1Char"/>
        </w:rPr>
        <w:t>Post-Impressionism</w:t>
      </w:r>
      <w:bookmarkStart w:id="0" w:name="_GoBack"/>
      <w:bookmarkEnd w:id="0"/>
      <w:r w:rsidRPr="004776FF">
        <w:br/>
      </w:r>
      <w:r w:rsidRPr="0072348D">
        <w:rPr>
          <w:rStyle w:val="SubtitleChar"/>
        </w:rPr>
        <w:t>Key Images</w:t>
      </w:r>
    </w:p>
    <w:p w14:paraId="2D065362" w14:textId="33CF1DA7" w:rsidR="00345674" w:rsidRPr="004776FF" w:rsidRDefault="00345674" w:rsidP="00345674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4776FF">
        <w:t xml:space="preserve">Paul Cézanne, </w:t>
      </w:r>
      <w:r w:rsidRPr="004776FF">
        <w:rPr>
          <w:i/>
        </w:rPr>
        <w:t xml:space="preserve">Mont Sainte-Victoire, </w:t>
      </w:r>
      <w:r w:rsidRPr="004776FF">
        <w:t>p. 906, 26.1</w:t>
      </w:r>
      <w:r w:rsidRPr="004776FF">
        <w:br/>
        <w:t xml:space="preserve">Paul Cézanne, </w:t>
      </w:r>
      <w:r w:rsidRPr="004776FF">
        <w:rPr>
          <w:i/>
        </w:rPr>
        <w:t>Still Life with Apples in a Bowl</w:t>
      </w:r>
      <w:r w:rsidRPr="004776FF">
        <w:t>, p. 907, 26.2</w:t>
      </w:r>
      <w:r w:rsidR="005C79B3">
        <w:br/>
      </w:r>
      <w:r w:rsidRPr="004776FF">
        <w:t xml:space="preserve">Paul Cézanne, </w:t>
      </w:r>
      <w:r w:rsidRPr="004776FF">
        <w:rPr>
          <w:i/>
        </w:rPr>
        <w:t xml:space="preserve">Mont Sainte-Victoire Seen from </w:t>
      </w:r>
      <w:proofErr w:type="spellStart"/>
      <w:r w:rsidRPr="004776FF">
        <w:rPr>
          <w:i/>
        </w:rPr>
        <w:t>Bibemus</w:t>
      </w:r>
      <w:proofErr w:type="spellEnd"/>
      <w:r w:rsidRPr="004776FF">
        <w:rPr>
          <w:i/>
        </w:rPr>
        <w:t xml:space="preserve"> Quarry</w:t>
      </w:r>
      <w:r w:rsidRPr="004776FF">
        <w:t>, p. 908, 26.3</w:t>
      </w:r>
      <w:r w:rsidRPr="004776FF">
        <w:br/>
        <w:t xml:space="preserve">Georges Seurat, </w:t>
      </w:r>
      <w:r w:rsidRPr="004776FF">
        <w:rPr>
          <w:i/>
        </w:rPr>
        <w:t xml:space="preserve">A Sunday Afternoon on the Island of La Grande </w:t>
      </w:r>
      <w:proofErr w:type="spellStart"/>
      <w:r w:rsidRPr="004776FF">
        <w:rPr>
          <w:i/>
        </w:rPr>
        <w:t>Jatte</w:t>
      </w:r>
      <w:proofErr w:type="spellEnd"/>
      <w:r w:rsidRPr="004776FF">
        <w:t>, p. 909, 26.4</w:t>
      </w:r>
      <w:r w:rsidRPr="004776FF">
        <w:br/>
        <w:t xml:space="preserve">Pierre </w:t>
      </w:r>
      <w:proofErr w:type="spellStart"/>
      <w:r w:rsidRPr="004776FF">
        <w:t>Puvis</w:t>
      </w:r>
      <w:proofErr w:type="spellEnd"/>
      <w:r w:rsidRPr="004776FF">
        <w:t xml:space="preserve"> de Chavannes, </w:t>
      </w:r>
      <w:r w:rsidRPr="004776FF">
        <w:rPr>
          <w:i/>
        </w:rPr>
        <w:t>The Sacred Grove</w:t>
      </w:r>
      <w:r w:rsidRPr="004776FF">
        <w:t xml:space="preserve">, </w:t>
      </w:r>
      <w:r w:rsidRPr="004776FF">
        <w:rPr>
          <w:i/>
        </w:rPr>
        <w:t>Beloved of the Arts and Muses</w:t>
      </w:r>
      <w:r w:rsidRPr="004776FF">
        <w:t>, p. 909, 26.5</w:t>
      </w:r>
      <w:r w:rsidRPr="004776FF">
        <w:br/>
        <w:t xml:space="preserve">Georges Seurat, </w:t>
      </w:r>
      <w:r w:rsidRPr="004776FF">
        <w:rPr>
          <w:i/>
        </w:rPr>
        <w:t xml:space="preserve">Le </w:t>
      </w:r>
      <w:proofErr w:type="spellStart"/>
      <w:r w:rsidRPr="004776FF">
        <w:rPr>
          <w:i/>
        </w:rPr>
        <w:t>Chahut</w:t>
      </w:r>
      <w:proofErr w:type="spellEnd"/>
      <w:r w:rsidRPr="004776FF">
        <w:t>, p. 910, 26.7</w:t>
      </w:r>
      <w:r w:rsidRPr="004776FF">
        <w:br/>
        <w:t xml:space="preserve">Henri de Toulouse-Lautrec, </w:t>
      </w:r>
      <w:r w:rsidRPr="004776FF">
        <w:rPr>
          <w:i/>
        </w:rPr>
        <w:t xml:space="preserve">La </w:t>
      </w:r>
      <w:proofErr w:type="spellStart"/>
      <w:r w:rsidRPr="004776FF">
        <w:rPr>
          <w:i/>
        </w:rPr>
        <w:t>Goulue</w:t>
      </w:r>
      <w:proofErr w:type="spellEnd"/>
      <w:r w:rsidRPr="004776FF">
        <w:t>, p. 912, 26.8</w:t>
      </w:r>
      <w:r w:rsidRPr="004776FF">
        <w:br/>
        <w:t xml:space="preserve">Vincent van Gogh, </w:t>
      </w:r>
      <w:r w:rsidRPr="004776FF">
        <w:rPr>
          <w:i/>
        </w:rPr>
        <w:t>The Potato Eaters</w:t>
      </w:r>
      <w:r w:rsidRPr="004776FF">
        <w:t>, p. 913, 26.9</w:t>
      </w:r>
      <w:r w:rsidRPr="004776FF">
        <w:br/>
        <w:t xml:space="preserve">Vincent van Gogh, </w:t>
      </w:r>
      <w:r w:rsidRPr="004776FF">
        <w:rPr>
          <w:i/>
        </w:rPr>
        <w:t>Night Café</w:t>
      </w:r>
      <w:r w:rsidRPr="004776FF">
        <w:t>, p. 914, 26.10</w:t>
      </w:r>
      <w:r w:rsidRPr="004776FF">
        <w:br/>
        <w:t xml:space="preserve">Vincent van Gogh, </w:t>
      </w:r>
      <w:r w:rsidRPr="004776FF">
        <w:rPr>
          <w:i/>
        </w:rPr>
        <w:t>Starry Night</w:t>
      </w:r>
      <w:r w:rsidRPr="004776FF">
        <w:t>, p. 914, 26.11</w:t>
      </w:r>
      <w:r w:rsidRPr="004776FF">
        <w:br/>
        <w:t xml:space="preserve">Paul Gauguin, </w:t>
      </w:r>
      <w:r w:rsidRPr="004776FF">
        <w:rPr>
          <w:i/>
        </w:rPr>
        <w:t>The Vision after the Sermon (Jacob Wrestling with the Angel)</w:t>
      </w:r>
      <w:r w:rsidRPr="004776FF">
        <w:t>, p. 915, 26.12</w:t>
      </w:r>
      <w:r w:rsidRPr="004776FF">
        <w:br/>
        <w:t xml:space="preserve">Paul Gauguin, </w:t>
      </w:r>
      <w:r w:rsidRPr="004776FF">
        <w:rPr>
          <w:i/>
        </w:rPr>
        <w:t>Where Do We Come From? What Are We? Where Are We Going?</w:t>
      </w:r>
      <w:r w:rsidRPr="004776FF">
        <w:t xml:space="preserve"> p. 916, 26.13</w:t>
      </w:r>
    </w:p>
    <w:p w14:paraId="2B5E698E" w14:textId="2BB152CE" w:rsidR="00345674" w:rsidRPr="004776FF" w:rsidRDefault="00345674" w:rsidP="00345674">
      <w:pPr>
        <w:pStyle w:val="Heading3"/>
        <w:rPr>
          <w:rFonts w:ascii="Times New Roman" w:hAnsi="Times New Roman" w:cs="Times New Roman"/>
          <w:szCs w:val="24"/>
        </w:rPr>
      </w:pPr>
      <w:r w:rsidRPr="0072348D">
        <w:rPr>
          <w:rStyle w:val="Heading1Char"/>
          <w:b w:val="0"/>
        </w:rPr>
        <w:t>Symbolism</w:t>
      </w:r>
      <w:r w:rsidRPr="004776FF">
        <w:rPr>
          <w:rFonts w:ascii="Times New Roman" w:hAnsi="Times New Roman" w:cs="Times New Roman"/>
          <w:b w:val="0"/>
          <w:szCs w:val="24"/>
        </w:rPr>
        <w:br/>
      </w:r>
      <w:r w:rsidRPr="0072348D">
        <w:rPr>
          <w:rStyle w:val="SubtitleChar"/>
          <w:rFonts w:ascii="Calibri" w:hAnsi="Calibri" w:cs="Calibri"/>
          <w:b w:val="0"/>
          <w:sz w:val="22"/>
          <w:szCs w:val="22"/>
        </w:rPr>
        <w:t>Key Images</w:t>
      </w:r>
    </w:p>
    <w:p w14:paraId="1EDAD79A" w14:textId="71E4EDB3" w:rsidR="00345674" w:rsidRDefault="00345674" w:rsidP="00345674">
      <w:pPr>
        <w:autoSpaceDE w:val="0"/>
        <w:autoSpaceDN w:val="0"/>
        <w:adjustRightInd w:val="0"/>
      </w:pPr>
      <w:r w:rsidRPr="004776FF">
        <w:t xml:space="preserve">Édouard Vuillard, </w:t>
      </w:r>
      <w:r w:rsidRPr="004776FF">
        <w:rPr>
          <w:i/>
        </w:rPr>
        <w:t>The Suitor (Interior with Work Table)</w:t>
      </w:r>
      <w:r w:rsidRPr="004776FF">
        <w:t>, p. 918, 26.14</w:t>
      </w:r>
      <w:r w:rsidRPr="004776FF">
        <w:br/>
        <w:t xml:space="preserve">Gustave Moreau, </w:t>
      </w:r>
      <w:r w:rsidRPr="004776FF">
        <w:rPr>
          <w:i/>
        </w:rPr>
        <w:t>The Apparition (Dance of Salomé)</w:t>
      </w:r>
      <w:r w:rsidRPr="004776FF">
        <w:t>, p. 918, 26.15</w:t>
      </w:r>
      <w:r w:rsidRPr="004776FF">
        <w:br/>
      </w:r>
      <w:proofErr w:type="spellStart"/>
      <w:r w:rsidRPr="004776FF">
        <w:t>Odilon</w:t>
      </w:r>
      <w:proofErr w:type="spellEnd"/>
      <w:r w:rsidRPr="004776FF">
        <w:t xml:space="preserve"> Redon, </w:t>
      </w:r>
      <w:r w:rsidRPr="004776FF">
        <w:rPr>
          <w:i/>
        </w:rPr>
        <w:t>The Eye Like a Strange Balloon Mounts Towards Infinity</w:t>
      </w:r>
      <w:r w:rsidRPr="004776FF">
        <w:t xml:space="preserve">, from the series </w:t>
      </w:r>
      <w:r w:rsidRPr="004776FF">
        <w:rPr>
          <w:i/>
        </w:rPr>
        <w:t>Edgar A. Poe</w:t>
      </w:r>
      <w:r w:rsidRPr="004776FF">
        <w:t>, p. 919, 26.16</w:t>
      </w:r>
      <w:r w:rsidRPr="004776FF">
        <w:br/>
        <w:t xml:space="preserve">Henri Rousseau, </w:t>
      </w:r>
      <w:r w:rsidRPr="004776FF">
        <w:rPr>
          <w:i/>
        </w:rPr>
        <w:t>The Dream</w:t>
      </w:r>
      <w:r w:rsidRPr="004776FF">
        <w:t>, p. 919, 26.17</w:t>
      </w:r>
      <w:r w:rsidRPr="004776FF">
        <w:br/>
        <w:t xml:space="preserve">James Ensor, </w:t>
      </w:r>
      <w:r w:rsidRPr="004776FF">
        <w:rPr>
          <w:i/>
        </w:rPr>
        <w:t>Christ’s Entry into Brussels in 1889</w:t>
      </w:r>
      <w:r w:rsidRPr="004776FF">
        <w:t>, p. 920, 26.18</w:t>
      </w:r>
      <w:r w:rsidRPr="004776FF">
        <w:br/>
        <w:t xml:space="preserve">Edvard Munch, </w:t>
      </w:r>
      <w:r w:rsidRPr="004776FF">
        <w:rPr>
          <w:i/>
        </w:rPr>
        <w:t>The Scream</w:t>
      </w:r>
      <w:r w:rsidRPr="004776FF">
        <w:t>, p. 921, 26.19</w:t>
      </w:r>
      <w:r w:rsidRPr="004776FF">
        <w:br/>
        <w:t xml:space="preserve">Aubrey Beardsley, </w:t>
      </w:r>
      <w:r w:rsidRPr="004776FF">
        <w:rPr>
          <w:i/>
        </w:rPr>
        <w:t>Salomé</w:t>
      </w:r>
      <w:r w:rsidRPr="004776FF">
        <w:t>, p. 922, 26.20</w:t>
      </w:r>
      <w:r w:rsidRPr="004776FF">
        <w:br/>
        <w:t xml:space="preserve">Gustav Klimt, </w:t>
      </w:r>
      <w:r w:rsidRPr="004776FF">
        <w:rPr>
          <w:i/>
        </w:rPr>
        <w:t>The Kiss</w:t>
      </w:r>
      <w:r w:rsidRPr="004776FF">
        <w:t>, p. 922, 26.21</w:t>
      </w:r>
      <w:r w:rsidR="0072348D">
        <w:br/>
      </w:r>
      <w:r w:rsidRPr="004776FF">
        <w:t xml:space="preserve">Albert Pinkham Ryder, </w:t>
      </w:r>
      <w:r w:rsidRPr="004776FF">
        <w:rPr>
          <w:i/>
        </w:rPr>
        <w:t>Siegfried and the Rhine Maidens</w:t>
      </w:r>
      <w:r w:rsidRPr="004776FF">
        <w:t>, p. 923, 26.22</w:t>
      </w:r>
      <w:r w:rsidRPr="004776FF">
        <w:br/>
        <w:t xml:space="preserve">Henry </w:t>
      </w:r>
      <w:proofErr w:type="spellStart"/>
      <w:r w:rsidRPr="004776FF">
        <w:t>Ossawa</w:t>
      </w:r>
      <w:proofErr w:type="spellEnd"/>
      <w:r w:rsidRPr="004776FF">
        <w:t xml:space="preserve"> Tanner, </w:t>
      </w:r>
      <w:r w:rsidRPr="004776FF">
        <w:rPr>
          <w:i/>
        </w:rPr>
        <w:t>Angels Appearing before the Shepherds</w:t>
      </w:r>
      <w:r w:rsidRPr="004776FF">
        <w:t>, p. 924, 26.23</w:t>
      </w:r>
      <w:r w:rsidRPr="004776FF">
        <w:br/>
        <w:t xml:space="preserve">Auguste Rodin, </w:t>
      </w:r>
      <w:r w:rsidRPr="004776FF">
        <w:rPr>
          <w:i/>
        </w:rPr>
        <w:t xml:space="preserve">The Gates of Hell </w:t>
      </w:r>
      <w:r w:rsidRPr="004776FF">
        <w:t>(entire structure), p. 925, 26.24</w:t>
      </w:r>
      <w:r w:rsidRPr="004776FF">
        <w:br/>
        <w:t xml:space="preserve">Auguste Rodin, </w:t>
      </w:r>
      <w:r w:rsidRPr="004776FF">
        <w:rPr>
          <w:i/>
        </w:rPr>
        <w:t>The Thinker</w:t>
      </w:r>
      <w:r w:rsidRPr="004776FF">
        <w:t>, p. 926, 26.25</w:t>
      </w:r>
      <w:r w:rsidRPr="004776FF">
        <w:br/>
        <w:t xml:space="preserve">Auguste Rodin, </w:t>
      </w:r>
      <w:r w:rsidRPr="004776FF">
        <w:rPr>
          <w:i/>
        </w:rPr>
        <w:t>The Walking Man</w:t>
      </w:r>
      <w:r w:rsidRPr="004776FF">
        <w:t>, p. 926, 26.26</w:t>
      </w:r>
      <w:r w:rsidRPr="004776FF">
        <w:br/>
        <w:t xml:space="preserve">Auguste Rodin, </w:t>
      </w:r>
      <w:r w:rsidRPr="004776FF">
        <w:rPr>
          <w:i/>
        </w:rPr>
        <w:t>Burghers of Calais</w:t>
      </w:r>
      <w:r w:rsidRPr="004776FF">
        <w:t>, p. 927, 26.27</w:t>
      </w:r>
    </w:p>
    <w:p w14:paraId="432198AE" w14:textId="2168E9B5" w:rsidR="00345674" w:rsidRPr="0072348D" w:rsidRDefault="00345674" w:rsidP="0072348D">
      <w:pPr>
        <w:autoSpaceDE w:val="0"/>
        <w:autoSpaceDN w:val="0"/>
        <w:adjustRightInd w:val="0"/>
      </w:pPr>
      <w:r w:rsidRPr="0072348D">
        <w:rPr>
          <w:rStyle w:val="Heading1Char"/>
        </w:rPr>
        <w:lastRenderedPageBreak/>
        <w:t>Art Nouveau and the Search for Modern Design</w:t>
      </w:r>
      <w:r w:rsidRPr="004776FF">
        <w:rPr>
          <w:b/>
        </w:rPr>
        <w:br/>
      </w:r>
      <w:r w:rsidRPr="0072348D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Louis Comfort Tiffany, </w:t>
      </w:r>
      <w:r w:rsidRPr="004776FF">
        <w:rPr>
          <w:i/>
        </w:rPr>
        <w:t>A Wooded Landscape</w:t>
      </w:r>
      <w:r w:rsidRPr="004776FF">
        <w:t>, p. 928, 26.28</w:t>
      </w:r>
      <w:r w:rsidRPr="004776FF">
        <w:br/>
        <w:t>Victor Horta, Interior Stairwell of the Tassel House, Brussels, p. 928, 26.29</w:t>
      </w:r>
      <w:r w:rsidRPr="004776FF">
        <w:br/>
        <w:t xml:space="preserve">Hector </w:t>
      </w:r>
      <w:proofErr w:type="spellStart"/>
      <w:r w:rsidRPr="004776FF">
        <w:t>Guimard</w:t>
      </w:r>
      <w:proofErr w:type="spellEnd"/>
      <w:r w:rsidRPr="004776FF">
        <w:t xml:space="preserve">, </w:t>
      </w:r>
      <w:proofErr w:type="spellStart"/>
      <w:r w:rsidRPr="004776FF">
        <w:t>Métro</w:t>
      </w:r>
      <w:proofErr w:type="spellEnd"/>
      <w:r w:rsidRPr="004776FF">
        <w:t xml:space="preserve"> Station, Paris, p. 929, 26.30</w:t>
      </w:r>
      <w:r w:rsidRPr="004776FF">
        <w:br/>
        <w:t xml:space="preserve">Antoni Gaudi, Casa </w:t>
      </w:r>
      <w:proofErr w:type="spellStart"/>
      <w:r w:rsidRPr="004776FF">
        <w:t>Milà</w:t>
      </w:r>
      <w:proofErr w:type="spellEnd"/>
      <w:r w:rsidRPr="004776FF">
        <w:t>, Barcelona, p. 929, 26.31</w:t>
      </w:r>
      <w:r w:rsidRPr="004776FF">
        <w:br/>
        <w:t>Charles Rennie Mackintosh, North façade of the Glasgow School of Art, Glasgow, p. 930, 26.33</w:t>
      </w:r>
      <w:r w:rsidRPr="004776FF">
        <w:br/>
        <w:t>Charles Rennie Mackintosh, Salon de Luxe, Willow Tearoom, Glasgow, p. 930, 26.34</w:t>
      </w:r>
    </w:p>
    <w:p w14:paraId="2B3E06C8" w14:textId="6A82273D" w:rsidR="00345674" w:rsidRDefault="00345674" w:rsidP="0072348D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72348D">
        <w:rPr>
          <w:rStyle w:val="Heading1Char"/>
        </w:rPr>
        <w:t>American Architecture: The Chicago School</w:t>
      </w:r>
      <w:r w:rsidRPr="004776FF">
        <w:rPr>
          <w:b/>
        </w:rPr>
        <w:br/>
      </w:r>
      <w:r w:rsidRPr="0072348D">
        <w:rPr>
          <w:rStyle w:val="SubtitleChar"/>
        </w:rPr>
        <w:t>Key Images</w:t>
      </w:r>
      <w:r w:rsidRPr="004776FF">
        <w:rPr>
          <w:b/>
        </w:rPr>
        <w:br/>
      </w:r>
      <w:r w:rsidRPr="004776FF">
        <w:t>Henry Hobson Richardson, Marshall Field Wholesale Store, Chicago, p. 931, 26.35Louis Sullivan, Wainwright Building, St. Louis, p. 932, 26.36</w:t>
      </w:r>
      <w:r w:rsidRPr="004776FF">
        <w:br/>
        <w:t xml:space="preserve">Louis Sullivan, Schlesinger and Meyer Store, then </w:t>
      </w:r>
      <w:proofErr w:type="spellStart"/>
      <w:r w:rsidRPr="004776FF">
        <w:t>CarsonPirie</w:t>
      </w:r>
      <w:proofErr w:type="spellEnd"/>
      <w:r w:rsidRPr="004776FF">
        <w:t>-Scott store (now the Sullivan Center ), Chicago p. 933, 26.37</w:t>
      </w:r>
      <w:r w:rsidRPr="004776FF">
        <w:br/>
        <w:t>Louis Sullivan, Cast-iron ornament, Schlesinger and Meyer Store, p. 933, 26.38</w:t>
      </w:r>
      <w:r w:rsidRPr="004776FF">
        <w:br/>
        <w:t xml:space="preserve">Frank Lloyd Wright, </w:t>
      </w:r>
      <w:proofErr w:type="spellStart"/>
      <w:r w:rsidRPr="004776FF">
        <w:t>Robie</w:t>
      </w:r>
      <w:proofErr w:type="spellEnd"/>
      <w:r w:rsidRPr="004776FF">
        <w:t xml:space="preserve"> House, Chicago, p. 934, 26.39</w:t>
      </w:r>
      <w:r w:rsidRPr="004776FF">
        <w:br/>
        <w:t>Frank Lloyd Wright, Living room of the Francis W. Little House, Minnesota, p. 935, 26.41</w:t>
      </w:r>
    </w:p>
    <w:p w14:paraId="6BCE122F" w14:textId="1BB557F2" w:rsidR="00F73FE0" w:rsidRDefault="00345674" w:rsidP="0072348D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4776FF">
        <w:rPr>
          <w:b/>
        </w:rPr>
        <w:br/>
      </w:r>
      <w:r w:rsidRPr="0072348D">
        <w:rPr>
          <w:rStyle w:val="Heading1Char"/>
        </w:rPr>
        <w:t>Photography</w:t>
      </w:r>
      <w:r w:rsidRPr="004776FF">
        <w:rPr>
          <w:b/>
        </w:rPr>
        <w:br/>
      </w:r>
      <w:r w:rsidRPr="0072348D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Peter Henry Emerson, </w:t>
      </w:r>
      <w:r w:rsidRPr="004776FF">
        <w:rPr>
          <w:i/>
        </w:rPr>
        <w:t>Poling the Marsh Hay</w:t>
      </w:r>
      <w:r w:rsidRPr="004776FF">
        <w:t>, p. 936, 26.42</w:t>
      </w:r>
      <w:r w:rsidRPr="004776FF">
        <w:br/>
        <w:t xml:space="preserve">Gertrude </w:t>
      </w:r>
      <w:proofErr w:type="spellStart"/>
      <w:r w:rsidRPr="004776FF">
        <w:t>Käsebier</w:t>
      </w:r>
      <w:proofErr w:type="spellEnd"/>
      <w:r w:rsidRPr="004776FF">
        <w:t xml:space="preserve">, </w:t>
      </w:r>
      <w:r w:rsidRPr="004776FF">
        <w:rPr>
          <w:i/>
        </w:rPr>
        <w:t>Blessed Art Thou Among Women</w:t>
      </w:r>
      <w:r w:rsidRPr="004776FF">
        <w:t>, p. 937, 26.43</w:t>
      </w:r>
      <w:r w:rsidRPr="004776FF">
        <w:br/>
        <w:t xml:space="preserve">Edward Steichen, </w:t>
      </w:r>
      <w:r w:rsidRPr="004776FF">
        <w:rPr>
          <w:i/>
        </w:rPr>
        <w:t>Rodin with His Sculptures</w:t>
      </w:r>
      <w:r w:rsidRPr="004776FF">
        <w:t xml:space="preserve">, </w:t>
      </w:r>
      <w:r w:rsidRPr="004776FF">
        <w:rPr>
          <w:i/>
        </w:rPr>
        <w:t xml:space="preserve">″Victor Hugo″ and ″The </w:t>
      </w:r>
      <w:proofErr w:type="gramStart"/>
      <w:r w:rsidRPr="004776FF">
        <w:rPr>
          <w:i/>
        </w:rPr>
        <w:t>Thinker,″</w:t>
      </w:r>
      <w:proofErr w:type="gramEnd"/>
      <w:r w:rsidRPr="004776FF">
        <w:rPr>
          <w:i/>
        </w:rPr>
        <w:t xml:space="preserve"> </w:t>
      </w:r>
      <w:r w:rsidRPr="004776FF">
        <w:t>p. 938, 26.44</w:t>
      </w:r>
      <w:r w:rsidR="0072348D">
        <w:br/>
      </w:r>
      <w:r w:rsidRPr="004776FF">
        <w:t xml:space="preserve">Alfred Stieglitz, </w:t>
      </w:r>
      <w:r w:rsidRPr="004776FF">
        <w:rPr>
          <w:i/>
        </w:rPr>
        <w:t>The City of Ambition</w:t>
      </w:r>
      <w:r w:rsidRPr="004776FF">
        <w:t>, p. 945, 26.45</w:t>
      </w:r>
      <w:r w:rsidRPr="004776FF">
        <w:br/>
        <w:t xml:space="preserve">Jacob Riis, </w:t>
      </w:r>
      <w:r w:rsidRPr="004776FF">
        <w:rPr>
          <w:i/>
        </w:rPr>
        <w:t>Five Cents a Spot, Unauthorized Lodgings in a Bayard Street Tenement</w:t>
      </w:r>
      <w:r w:rsidRPr="004776FF">
        <w:t>, p. 939, 26.46</w:t>
      </w:r>
      <w:r w:rsidRPr="004776FF">
        <w:br/>
        <w:t xml:space="preserve">Henri </w:t>
      </w:r>
      <w:proofErr w:type="spellStart"/>
      <w:r w:rsidRPr="004776FF">
        <w:t>Lartigue</w:t>
      </w:r>
      <w:proofErr w:type="spellEnd"/>
      <w:r w:rsidRPr="004776FF">
        <w:t xml:space="preserve">, </w:t>
      </w:r>
      <w:r w:rsidRPr="004776FF">
        <w:rPr>
          <w:i/>
        </w:rPr>
        <w:t xml:space="preserve">Avenue du </w:t>
      </w:r>
      <w:proofErr w:type="spellStart"/>
      <w:r w:rsidRPr="004776FF">
        <w:rPr>
          <w:i/>
        </w:rPr>
        <w:t>Bois</w:t>
      </w:r>
      <w:proofErr w:type="spellEnd"/>
      <w:r w:rsidRPr="004776FF">
        <w:rPr>
          <w:i/>
        </w:rPr>
        <w:t xml:space="preserve"> du </w:t>
      </w:r>
      <w:proofErr w:type="spellStart"/>
      <w:r w:rsidRPr="004776FF">
        <w:rPr>
          <w:i/>
        </w:rPr>
        <w:t>Bologne</w:t>
      </w:r>
      <w:proofErr w:type="spellEnd"/>
      <w:r w:rsidRPr="004776FF">
        <w:rPr>
          <w:i/>
        </w:rPr>
        <w:t xml:space="preserve"> (Woman with Furs, </w:t>
      </w:r>
      <w:r w:rsidRPr="004776FF">
        <w:t xml:space="preserve">or </w:t>
      </w:r>
      <w:r w:rsidRPr="004776FF">
        <w:rPr>
          <w:i/>
        </w:rPr>
        <w:t xml:space="preserve">Arlette Prevost, called “Anna la </w:t>
      </w:r>
      <w:proofErr w:type="spellStart"/>
      <w:r w:rsidRPr="004776FF">
        <w:rPr>
          <w:i/>
        </w:rPr>
        <w:t>Pradvina</w:t>
      </w:r>
      <w:proofErr w:type="spellEnd"/>
      <w:r w:rsidRPr="004776FF">
        <w:rPr>
          <w:i/>
        </w:rPr>
        <w:t>,” with her dogs “Chichi” et “</w:t>
      </w:r>
      <w:proofErr w:type="spellStart"/>
      <w:r w:rsidRPr="004776FF">
        <w:rPr>
          <w:i/>
        </w:rPr>
        <w:t>Gogo</w:t>
      </w:r>
      <w:proofErr w:type="spellEnd"/>
      <w:r w:rsidRPr="004776FF">
        <w:rPr>
          <w:i/>
        </w:rPr>
        <w:t>”)</w:t>
      </w:r>
      <w:r w:rsidRPr="004776FF">
        <w:t>, p. 940, 26.47</w:t>
      </w:r>
      <w:r w:rsidRPr="004776FF">
        <w:br/>
      </w:r>
      <w:proofErr w:type="spellStart"/>
      <w:r w:rsidRPr="004776FF">
        <w:t>Eadwearde</w:t>
      </w:r>
      <w:proofErr w:type="spellEnd"/>
      <w:r w:rsidRPr="004776FF">
        <w:t xml:space="preserve"> Muybridge, </w:t>
      </w:r>
      <w:r w:rsidRPr="004776FF">
        <w:rPr>
          <w:i/>
        </w:rPr>
        <w:t xml:space="preserve">Untitled </w:t>
      </w:r>
      <w:r w:rsidRPr="004776FF">
        <w:t xml:space="preserve">(sequence photographs of the trot and gallop), from </w:t>
      </w:r>
      <w:r w:rsidRPr="004776FF">
        <w:rPr>
          <w:i/>
        </w:rPr>
        <w:t>La Nature</w:t>
      </w:r>
      <w:r w:rsidRPr="004776FF">
        <w:t>, p. 941, 26.48</w:t>
      </w:r>
      <w:r w:rsidR="0072348D">
        <w:br/>
      </w:r>
      <w:r w:rsidRPr="004776FF">
        <w:t xml:space="preserve">Étienne-Jules </w:t>
      </w:r>
      <w:proofErr w:type="spellStart"/>
      <w:r w:rsidRPr="004776FF">
        <w:t>Marey</w:t>
      </w:r>
      <w:proofErr w:type="spellEnd"/>
      <w:r w:rsidRPr="004776FF">
        <w:t xml:space="preserve">, </w:t>
      </w:r>
      <w:r w:rsidRPr="004776FF">
        <w:rPr>
          <w:i/>
        </w:rPr>
        <w:t>Man in Black Suit with White Stripes Down Arms and Legs</w:t>
      </w:r>
      <w:r w:rsidRPr="004776FF">
        <w:t xml:space="preserve">, </w:t>
      </w:r>
      <w:r w:rsidRPr="004776FF">
        <w:rPr>
          <w:i/>
        </w:rPr>
        <w:t>Walking in Front of a Black Wall,</w:t>
      </w:r>
      <w:r w:rsidRPr="004776FF">
        <w:t xml:space="preserve"> p. 941, 26.49</w:t>
      </w:r>
      <w:r w:rsidRPr="004776FF">
        <w:br/>
        <w:t xml:space="preserve">Thomas Edison, Still life from the film </w:t>
      </w:r>
      <w:r w:rsidRPr="004776FF">
        <w:rPr>
          <w:i/>
        </w:rPr>
        <w:t>New Brooklyn to New York via Brooklyn Bridge</w:t>
      </w:r>
      <w:r w:rsidRPr="004776FF">
        <w:t>, p. 942, 26.50</w:t>
      </w:r>
    </w:p>
    <w:p w14:paraId="16FB90F8" w14:textId="778568E3" w:rsidR="0072348D" w:rsidRDefault="0072348D" w:rsidP="0072348D">
      <w:pPr>
        <w:pStyle w:val="Heading1"/>
      </w:pPr>
      <w:r w:rsidRPr="0072348D">
        <w:t>Key Terms/Places/Names</w:t>
      </w:r>
    </w:p>
    <w:p w14:paraId="71D9958C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Art Nouveau</w:t>
      </w:r>
    </w:p>
    <w:p w14:paraId="434B1265" w14:textId="67B38564" w:rsidR="0072348D" w:rsidRDefault="0072348D" w:rsidP="0072348D">
      <w:pPr>
        <w:pStyle w:val="ListParagraph"/>
        <w:numPr>
          <w:ilvl w:val="0"/>
          <w:numId w:val="1"/>
        </w:numPr>
      </w:pPr>
      <w:r>
        <w:t>Arts and Crafts Movement</w:t>
      </w:r>
    </w:p>
    <w:p w14:paraId="6D1139BF" w14:textId="1FDD4439" w:rsidR="0072348D" w:rsidRDefault="0072348D" w:rsidP="0072348D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Chromoluminarianism</w:t>
      </w:r>
      <w:proofErr w:type="spellEnd"/>
      <w:r>
        <w:t>”</w:t>
      </w:r>
    </w:p>
    <w:p w14:paraId="320D9452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cloisonné enamels</w:t>
      </w:r>
    </w:p>
    <w:p w14:paraId="4DFFC948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curtain wall</w:t>
      </w:r>
    </w:p>
    <w:p w14:paraId="68D9B189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Divisionism</w:t>
      </w:r>
    </w:p>
    <w:p w14:paraId="027CC192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lastRenderedPageBreak/>
        <w:t>Moulin Rouge</w:t>
      </w:r>
    </w:p>
    <w:p w14:paraId="071AA7A1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Neo-Impressionism</w:t>
      </w:r>
    </w:p>
    <w:p w14:paraId="249D77B3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 xml:space="preserve">Photo Secession </w:t>
      </w:r>
    </w:p>
    <w:p w14:paraId="4805DEF1" w14:textId="77777777" w:rsidR="0072348D" w:rsidRDefault="0072348D" w:rsidP="0072348D">
      <w:pPr>
        <w:pStyle w:val="ListParagraph"/>
        <w:numPr>
          <w:ilvl w:val="0"/>
          <w:numId w:val="1"/>
        </w:numPr>
      </w:pPr>
      <w:proofErr w:type="spellStart"/>
      <w:r>
        <w:t>Pictorialist</w:t>
      </w:r>
      <w:proofErr w:type="spellEnd"/>
      <w:r>
        <w:t xml:space="preserve"> Photography </w:t>
      </w:r>
    </w:p>
    <w:p w14:paraId="244694BD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Pointillism</w:t>
      </w:r>
    </w:p>
    <w:p w14:paraId="42C4D5E6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Post-Impressionism</w:t>
      </w:r>
    </w:p>
    <w:p w14:paraId="144EBE16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Prairie Houses</w:t>
      </w:r>
    </w:p>
    <w:p w14:paraId="2BDF0A31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primitivism</w:t>
      </w:r>
    </w:p>
    <w:p w14:paraId="2696B61F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spandrels</w:t>
      </w:r>
    </w:p>
    <w:p w14:paraId="7ED57F33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Symbolism</w:t>
      </w:r>
    </w:p>
    <w:p w14:paraId="5F7DD3B7" w14:textId="77777777" w:rsidR="0072348D" w:rsidRDefault="0072348D" w:rsidP="0072348D">
      <w:pPr>
        <w:pStyle w:val="ListParagraph"/>
        <w:numPr>
          <w:ilvl w:val="0"/>
          <w:numId w:val="1"/>
        </w:numPr>
      </w:pPr>
      <w:proofErr w:type="spellStart"/>
      <w:r>
        <w:t>Synthetism</w:t>
      </w:r>
      <w:proofErr w:type="spellEnd"/>
    </w:p>
    <w:p w14:paraId="79300DFC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>The Chicago School</w:t>
      </w:r>
    </w:p>
    <w:p w14:paraId="43957C13" w14:textId="77777777" w:rsidR="0072348D" w:rsidRDefault="0072348D" w:rsidP="0072348D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Nabis</w:t>
      </w:r>
      <w:proofErr w:type="spellEnd"/>
    </w:p>
    <w:sectPr w:rsidR="0072348D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802AC"/>
    <w:multiLevelType w:val="hybridMultilevel"/>
    <w:tmpl w:val="6B02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27427"/>
    <w:rsid w:val="00037A94"/>
    <w:rsid w:val="00040785"/>
    <w:rsid w:val="000A52BA"/>
    <w:rsid w:val="000C0BF5"/>
    <w:rsid w:val="000E57D3"/>
    <w:rsid w:val="00100C63"/>
    <w:rsid w:val="00115BBB"/>
    <w:rsid w:val="00137115"/>
    <w:rsid w:val="00137603"/>
    <w:rsid w:val="00142F9D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45674"/>
    <w:rsid w:val="003501A1"/>
    <w:rsid w:val="0039142C"/>
    <w:rsid w:val="003C659E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C79B3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1794"/>
    <w:rsid w:val="006E2EF4"/>
    <w:rsid w:val="006E442C"/>
    <w:rsid w:val="006F01C1"/>
    <w:rsid w:val="0070482D"/>
    <w:rsid w:val="007070C0"/>
    <w:rsid w:val="0072348D"/>
    <w:rsid w:val="00746BF8"/>
    <w:rsid w:val="00765204"/>
    <w:rsid w:val="007746B9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C2666"/>
    <w:rsid w:val="008D4498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C3984"/>
    <w:rsid w:val="00F00DBB"/>
    <w:rsid w:val="00F22F5E"/>
    <w:rsid w:val="00F23EB4"/>
    <w:rsid w:val="00F60624"/>
    <w:rsid w:val="00F713CB"/>
    <w:rsid w:val="00F73FE0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2019-07-29T21:06:00Z</dcterms:created>
  <dcterms:modified xsi:type="dcterms:W3CDTF">2019-07-29T21:06:00Z</dcterms:modified>
</cp:coreProperties>
</file>