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734D" w14:textId="7AEC3B34" w:rsidR="00152121" w:rsidRPr="00152121" w:rsidRDefault="00152121" w:rsidP="00152121">
      <w:pPr>
        <w:rPr>
          <w:u w:val="single"/>
          <w:lang w:val="en-US"/>
        </w:rPr>
      </w:pPr>
      <w:r w:rsidRPr="00152121">
        <w:rPr>
          <w:b/>
          <w:bCs/>
          <w:u w:val="single"/>
          <w:lang w:val="en-US"/>
        </w:rPr>
        <w:t>Highly Restricted Internal Penetration Test Based on Passive Observation</w:t>
      </w:r>
    </w:p>
    <w:p w14:paraId="45852D88" w14:textId="77777777" w:rsidR="00152121" w:rsidRDefault="00152121" w:rsidP="00152121">
      <w:pPr>
        <w:rPr>
          <w:lang w:val="en-US"/>
        </w:rPr>
      </w:pPr>
    </w:p>
    <w:p w14:paraId="1B846158" w14:textId="412F0FFD" w:rsidR="00152121" w:rsidRPr="00152121" w:rsidRDefault="00152121" w:rsidP="00152121">
      <w:pPr>
        <w:rPr>
          <w:lang w:val="en-US"/>
        </w:rPr>
      </w:pPr>
      <w:r>
        <w:rPr>
          <w:lang w:val="en-US"/>
        </w:rPr>
        <w:t>1.</w:t>
      </w:r>
      <w:r w:rsidRPr="00152121">
        <w:rPr>
          <w:rFonts w:ascii="Times New Roman" w:eastAsia="Times New Roman" w:hAnsi="Times New Roman" w:cs="Times New Roman"/>
          <w:kern w:val="0"/>
          <w:sz w:val="24"/>
          <w:szCs w:val="24"/>
          <w:lang w:val="en-US" w:eastAsia="ru-RU"/>
          <w14:ligatures w14:val="none"/>
        </w:rPr>
        <w:t xml:space="preserve"> </w:t>
      </w:r>
      <w:r w:rsidRPr="00152121">
        <w:rPr>
          <w:lang w:val="en-US"/>
        </w:rPr>
        <w:t>Trust relationships can be responsibly inferred by correlating multiple passive indicators rather than relying on a single technical signal. In this case, repeated Kerberos authentication attempts, SMB session negotiations, and asymmetric access between network segments may collectively suggest the presence of domain trusts, shared services, or delegated authentication paths. By observing patterns such as which systems initiate authentication requests, the direction of those requests, and whether certain segments can query or negotiate with others while access in the opposite direction is restricted, testers can form hypotheses about underlying trust relationships. These inferences should be framed as probabilistic assessments, clearly stating assumptions and confidence levels, rather than as confirmed facts.</w:t>
      </w:r>
      <w:r>
        <w:rPr>
          <w:lang w:val="en-US"/>
        </w:rPr>
        <w:br/>
      </w:r>
      <w:r w:rsidRPr="00152121">
        <w:rPr>
          <w:lang w:val="en-US"/>
        </w:rPr>
        <w:t>The primary risk of incorrect inference is overstating the organization’s exposure. If a presumed trust relationship does not actually exist, leadership may invest resources in mitigating a non-issue or make strategic decisions based on flawed conclusions. Conversely, underestimating uncertainty can erode credibility if later validation disproves the assessment. There is also a risk of causing unnecessary alarm by implying lateral-movement feasibility without evidence of compromise. Responsible reporting therefore requires transparent communication of uncertainty and explicit distinction between observed behavior, inferred structure, and verified risk.</w:t>
      </w:r>
    </w:p>
    <w:p w14:paraId="15A3031C" w14:textId="40971DF9" w:rsidR="00823483" w:rsidRDefault="00823483">
      <w:pPr>
        <w:rPr>
          <w:lang w:val="en-US"/>
        </w:rPr>
      </w:pPr>
    </w:p>
    <w:p w14:paraId="1F809160" w14:textId="5E4DF5D5" w:rsidR="00152121" w:rsidRPr="00152121" w:rsidRDefault="00152121" w:rsidP="00152121">
      <w:pPr>
        <w:rPr>
          <w:lang w:val="en-US"/>
        </w:rPr>
      </w:pPr>
      <w:r>
        <w:rPr>
          <w:lang w:val="en-US"/>
        </w:rPr>
        <w:t xml:space="preserve">2. </w:t>
      </w:r>
      <w:r w:rsidRPr="00152121">
        <w:rPr>
          <w:lang w:val="en-US"/>
        </w:rPr>
        <w:t xml:space="preserve">When evidence of compromise is intentionally avoided, business impact should be communicated in terms of exposure, likelihood, and potential consequence rather than confirmed incidents. Instead of stating that a breach has occurred, the assessment should explain what </w:t>
      </w:r>
      <w:r w:rsidRPr="00152121">
        <w:rPr>
          <w:i/>
          <w:iCs/>
          <w:lang w:val="en-US"/>
        </w:rPr>
        <w:t>could</w:t>
      </w:r>
      <w:r w:rsidRPr="00152121">
        <w:rPr>
          <w:lang w:val="en-US"/>
        </w:rPr>
        <w:t xml:space="preserve"> happen if the observed conditions were abused by a real attacker. For example, passive indicators such as repeated authentication attempts and cross-segment communication can be translated into business language by describing how existing trust paths might allow an attacker to move between systems if an initial foothold were ever obtained.</w:t>
      </w:r>
      <w:r>
        <w:rPr>
          <w:lang w:val="en-US"/>
        </w:rPr>
        <w:br/>
      </w:r>
      <w:r w:rsidRPr="00152121">
        <w:rPr>
          <w:lang w:val="en-US"/>
        </w:rPr>
        <w:t>The focus should shift from technical proof to risk scenarios. These scenarios connect technical observations to concrete business outcomes, such as unauthorized access to sensitive data, disruption of critical services, or regulatory and reputational damage. It is important to clearly state that these impacts are contingent on exploitation, while also emphasizing that the conditions enabling such exploitation already exist. By framing findings as “risk-enabling conditions” rather than confirmed compromises, leadership can understand the urgency without being misled. Clear differentiation between observed facts, inferred risks, and hypothetical outcomes allows executives to make informed decisions while respecting the testing constraints.</w:t>
      </w:r>
    </w:p>
    <w:p w14:paraId="09BFF0AE" w14:textId="2255CB12" w:rsidR="00152121" w:rsidRDefault="00152121">
      <w:pPr>
        <w:rPr>
          <w:lang w:val="en-US"/>
        </w:rPr>
      </w:pPr>
    </w:p>
    <w:p w14:paraId="7416D4FA" w14:textId="1B89C135" w:rsidR="00152121" w:rsidRPr="00152121" w:rsidRDefault="00152121" w:rsidP="00152121">
      <w:pPr>
        <w:rPr>
          <w:lang w:val="en-US"/>
        </w:rPr>
      </w:pPr>
      <w:r>
        <w:rPr>
          <w:lang w:val="en-US"/>
        </w:rPr>
        <w:t xml:space="preserve">3. </w:t>
      </w:r>
      <w:r w:rsidRPr="00152121">
        <w:rPr>
          <w:lang w:val="en-US"/>
        </w:rPr>
        <w:t>A defensible way to translate inferred attack paths into quantifiable organizational risk is to apply a structured risk assessment methodology that separates uncertainty from impact. One commonly accepted approach is to combine attack path modeling with likelihood–impact analysis. In this model, inferred attack paths are treated as potential scenarios rather than confirmed attacker capabilities. Each scenario is mapped from an assumed initial access point, through the observed trust relationships, to a potential business asset such as a critical system or sensitive dataset.</w:t>
      </w:r>
      <w:r>
        <w:rPr>
          <w:lang w:val="en-US"/>
        </w:rPr>
        <w:br/>
      </w:r>
      <w:r w:rsidRPr="00152121">
        <w:rPr>
          <w:lang w:val="en-US"/>
        </w:rPr>
        <w:t xml:space="preserve">Quantification can then be achieved by assigning qualitative or semi-quantitative scores to likelihood and impact. Likelihood is estimated based on the strength of passive indicators, environmental constraints, and existing controls, while impact is assessed using business factors such as service downtime, data sensitivity, financial loss, and regulatory exposure. Frameworks such as FAIR or threat modeling techniques like STRIDE can support this translation by providing consistent terminology and scoring logic. The key to defensibility is transparency: documenting assumptions, confidence levels, and data sources </w:t>
      </w:r>
      <w:r w:rsidRPr="00152121">
        <w:rPr>
          <w:lang w:val="en-US"/>
        </w:rPr>
        <w:lastRenderedPageBreak/>
        <w:t>ensures that leadership understands both the risk magnitude and the uncertainty inherent in the inference.</w:t>
      </w:r>
    </w:p>
    <w:p w14:paraId="0719DC93" w14:textId="2AF56033" w:rsidR="00152121" w:rsidRDefault="00152121">
      <w:pPr>
        <w:rPr>
          <w:lang w:val="en-US"/>
        </w:rPr>
      </w:pPr>
    </w:p>
    <w:p w14:paraId="7232E70A" w14:textId="0C50ECA5" w:rsidR="00152121" w:rsidRPr="00152121" w:rsidRDefault="00152121" w:rsidP="00152121">
      <w:pPr>
        <w:rPr>
          <w:lang w:val="en-US"/>
        </w:rPr>
      </w:pPr>
      <w:r>
        <w:rPr>
          <w:lang w:val="en-US"/>
        </w:rPr>
        <w:t xml:space="preserve">4. </w:t>
      </w:r>
      <w:r w:rsidRPr="00152121">
        <w:rPr>
          <w:lang w:val="en-US"/>
        </w:rPr>
        <w:t>Restrictive scopes can bias penetration-testing conclusions by limiting the tester’s ability to validate assumptions, which may create a false sense of assurance. When exploitation, credential use, and active scanning are prohibited, many attack paths remain theoretical rather than tested. As a result, the absence of confirmed compromise may be misinterpreted as evidence of strong security, even though the test was intentionally designed to avoid triggering such outcomes. This can lead stakeholders to equate “no findings” with “no risk,” overlooking the fact that key verification steps were out of scope.</w:t>
      </w:r>
      <w:r>
        <w:rPr>
          <w:lang w:val="en-US"/>
        </w:rPr>
        <w:br/>
      </w:r>
      <w:r w:rsidRPr="00152121">
        <w:rPr>
          <w:lang w:val="en-US"/>
        </w:rPr>
        <w:t>Additionally, restrictive scopes tend to favor visibility over exploitability. Passive observations may reveal only what is already exposed under normal operating conditions, while misconfigurations or chained weaknesses remain hidden because they require active interaction to uncover. This skews conclusions toward surface-level resilience rather than real-world attacker behavior. Over time, repeated low-impact assessments under tight constraints can reinforce executive confidence without meaningfully challenging defenses. To avoid false assurance, conclusions must explicitly state how scope limitations reduce certainty and emphasize that untested paths represent unknown risk rather than validated security.</w:t>
      </w:r>
    </w:p>
    <w:p w14:paraId="5463AC12" w14:textId="25D654CF" w:rsidR="00152121" w:rsidRDefault="00152121">
      <w:pPr>
        <w:rPr>
          <w:lang w:val="en-US"/>
        </w:rPr>
      </w:pPr>
    </w:p>
    <w:p w14:paraId="2635FCCB" w14:textId="1F7DED30" w:rsidR="00152121" w:rsidRPr="00152121" w:rsidRDefault="00152121" w:rsidP="00152121">
      <w:pPr>
        <w:rPr>
          <w:lang w:val="en-US"/>
        </w:rPr>
      </w:pPr>
      <w:r>
        <w:rPr>
          <w:lang w:val="en-US"/>
        </w:rPr>
        <w:t xml:space="preserve">5. </w:t>
      </w:r>
      <w:r w:rsidRPr="00152121">
        <w:rPr>
          <w:lang w:val="en-US"/>
        </w:rPr>
        <w:t>A “no exploitation” testing model does not fully represent the behavior or capabilities of real attackers, but it can still provide limited value when its purpose is clearly defined. Real attackers are not constrained by engagement rules; they actively exploit vulnerabilities, abuse credentials, and probe systems repeatedly to validate and expand access. By contrast, a model that forbids exploitation and high-volume activity can only approximate the reconnaissance and early discovery phases of an attack, leaving the most critical stages of compromise unexamined.</w:t>
      </w:r>
      <w:r>
        <w:rPr>
          <w:lang w:val="en-US"/>
        </w:rPr>
        <w:br/>
      </w:r>
      <w:r w:rsidRPr="00152121">
        <w:rPr>
          <w:lang w:val="en-US"/>
        </w:rPr>
        <w:t>This limitation creates a gap between observed security posture and actual resilience under attack. While passive indicators may reveal architectural weaknesses or trust relationships, they cannot confirm whether those weaknesses are practically exploitable or how quickly an attacker could leverage them. As a result, conclusions drawn from such testing may underestimate attacker capability and persistence. However, the model can still be useful in highly sensitive environments by identifying risk-enabling conditions without disruption. Its realism depends on transparent acknowledgment that it reflects defensive visibility and exposure, not true adversarial behavior.</w:t>
      </w:r>
    </w:p>
    <w:p w14:paraId="02CE4960" w14:textId="002FC527" w:rsidR="00152121" w:rsidRDefault="00152121">
      <w:pPr>
        <w:rPr>
          <w:lang w:val="en-US"/>
        </w:rPr>
      </w:pPr>
    </w:p>
    <w:p w14:paraId="520ADD5B" w14:textId="77777777" w:rsidR="00152121" w:rsidRDefault="00152121">
      <w:pPr>
        <w:rPr>
          <w:lang w:val="en-US"/>
        </w:rPr>
      </w:pPr>
    </w:p>
    <w:p w14:paraId="39F8AC38" w14:textId="77777777" w:rsidR="00152121" w:rsidRDefault="00152121">
      <w:pPr>
        <w:rPr>
          <w:lang w:val="en-US"/>
        </w:rPr>
      </w:pPr>
    </w:p>
    <w:p w14:paraId="558C2921" w14:textId="33A45D27" w:rsidR="00152121" w:rsidRPr="00152121" w:rsidRDefault="00152121">
      <w:pPr>
        <w:rPr>
          <w:u w:val="single"/>
          <w:lang w:val="en-US"/>
        </w:rPr>
      </w:pPr>
      <w:r w:rsidRPr="00152121">
        <w:rPr>
          <w:b/>
          <w:bCs/>
          <w:u w:val="single"/>
          <w:lang w:val="en-US"/>
        </w:rPr>
        <w:t>Uncertain Attribution in Critical Infrastructure Intrusions</w:t>
      </w:r>
    </w:p>
    <w:p w14:paraId="542183A4" w14:textId="77777777" w:rsidR="00152121" w:rsidRDefault="00152121">
      <w:pPr>
        <w:rPr>
          <w:lang w:val="en-US"/>
        </w:rPr>
      </w:pPr>
    </w:p>
    <w:p w14:paraId="3D325A37" w14:textId="2557CCB9" w:rsidR="00152121" w:rsidRPr="00152121" w:rsidRDefault="00152121" w:rsidP="00152121">
      <w:pPr>
        <w:rPr>
          <w:lang w:val="en-US"/>
        </w:rPr>
      </w:pPr>
      <w:r>
        <w:rPr>
          <w:lang w:val="en-US"/>
        </w:rPr>
        <w:t xml:space="preserve">1. </w:t>
      </w:r>
      <w:r w:rsidRPr="00152121">
        <w:rPr>
          <w:lang w:val="en-US"/>
        </w:rPr>
        <w:t>Cognitive biases and institutional incentives play a significant role in shaping attribution outcomes when evidence is incomplete and ambiguous. Analysts may be influenced by confirmation bias, selectively emphasizing technical details that align with preexisting beliefs about nation-state or criminal actors. For example, the involvement of critical infrastructure can subconsciously steer analysts toward assuming state-sponsored activity, even when technical indicators are not definitive. Availability bias may also affect judgment, as recent high-profile nation-state campaigns can dominate analytical thinking and skew interpretations of similar techniques.</w:t>
      </w:r>
      <w:r>
        <w:rPr>
          <w:lang w:val="en-US"/>
        </w:rPr>
        <w:br/>
      </w:r>
      <w:r w:rsidRPr="00152121">
        <w:rPr>
          <w:lang w:val="en-US"/>
        </w:rPr>
        <w:t xml:space="preserve">Institutional incentives further complicate attribution. Commercial threat-intelligence vendors may face </w:t>
      </w:r>
      <w:r w:rsidRPr="00152121">
        <w:rPr>
          <w:lang w:val="en-US"/>
        </w:rPr>
        <w:lastRenderedPageBreak/>
        <w:t>market pressure to produce decisive, high-impact conclusions, as strong attribution narratives attract attention and perceived value. Government bodies, constrained by classification and political considerations, may intentionally provide vague guidance, which leaves room for interpretation but also limits independent validation. Within organizations, security teams may lean toward more severe attribution to justify budget increases or defensive investments, or conversely toward less severe conclusions to avoid regulatory scrutiny. Together, these factors can lead to overconfident or polarized attribution despite weak or circumstantial evidence.</w:t>
      </w:r>
    </w:p>
    <w:p w14:paraId="38B54E63" w14:textId="4FBBBC8E" w:rsidR="00152121" w:rsidRDefault="00152121">
      <w:pPr>
        <w:rPr>
          <w:lang w:val="en-US"/>
        </w:rPr>
      </w:pPr>
    </w:p>
    <w:p w14:paraId="32FD0AAF" w14:textId="252A9993" w:rsidR="00152121" w:rsidRPr="00152121" w:rsidRDefault="00152121" w:rsidP="00152121">
      <w:pPr>
        <w:rPr>
          <w:lang w:val="en-US"/>
        </w:rPr>
      </w:pPr>
      <w:r>
        <w:rPr>
          <w:lang w:val="en-US"/>
        </w:rPr>
        <w:t xml:space="preserve">2. </w:t>
      </w:r>
      <w:r w:rsidRPr="00152121">
        <w:rPr>
          <w:lang w:val="en-US"/>
        </w:rPr>
        <w:t>Precise attribution is not always necessary for effective defense, particularly at the tactical and operational levels. Defensive actions such as patching vulnerabilities, strengthening authentication, improving network segmentation, and enhancing detection capabilities can be driven by observed techniques, tactics, and procedures rather than by knowing the exact identity of the threat actor. In this scenario, the shared execution techniques across incidents provide sufficient information to guide immediate defensive improvements, regardless of whether the activity originates from a nation-state or an organized criminal group.</w:t>
      </w:r>
      <w:r>
        <w:rPr>
          <w:lang w:val="en-US"/>
        </w:rPr>
        <w:br/>
      </w:r>
      <w:r w:rsidRPr="00152121">
        <w:rPr>
          <w:lang w:val="en-US"/>
        </w:rPr>
        <w:t>Misattribution becomes strategically harmful when it drives inappropriate long-term decisions or misaligned responses. For example, attributing activity to a nation-state may prompt escalation, public attribution, or regulatory reporting that is disproportionate to the actual threat, while attributing it to cybercrime could lead to underestimating persistence or geopolitical risk. Incorrect attribution can also damage credibility with regulators and stakeholders if later evidence contradicts earlier claims. Strategically, misattribution is most dangerous when it shifts focus away from real risk factors, causes overconfidence in certain defenses, or influences policy and investment decisions based on assumptions rather than evidence.</w:t>
      </w:r>
    </w:p>
    <w:p w14:paraId="51846880" w14:textId="308FB27E" w:rsidR="00152121" w:rsidRDefault="00152121">
      <w:pPr>
        <w:rPr>
          <w:lang w:val="en-US"/>
        </w:rPr>
      </w:pPr>
    </w:p>
    <w:p w14:paraId="46705267" w14:textId="260FB281" w:rsidR="00152121" w:rsidRPr="00152121" w:rsidRDefault="00152121" w:rsidP="00152121">
      <w:pPr>
        <w:rPr>
          <w:lang w:val="en-US"/>
        </w:rPr>
      </w:pPr>
      <w:r>
        <w:rPr>
          <w:lang w:val="en-US"/>
        </w:rPr>
        <w:t xml:space="preserve">3. </w:t>
      </w:r>
      <w:r w:rsidRPr="00152121">
        <w:rPr>
          <w:lang w:val="en-US"/>
        </w:rPr>
        <w:t xml:space="preserve">An effective analytic approach that incorporates uncertainty while enabling timely defense is </w:t>
      </w:r>
      <w:r w:rsidRPr="00152121">
        <w:rPr>
          <w:b/>
          <w:bCs/>
          <w:lang w:val="en-US"/>
        </w:rPr>
        <w:t>structured probabilistic reasoning</w:t>
      </w:r>
      <w:r w:rsidRPr="00152121">
        <w:rPr>
          <w:lang w:val="en-US"/>
        </w:rPr>
        <w:t>, often implemented through frameworks like Bayesian analysis or confidence-based threat modeling. In this approach, each hypothesis about actor identity, intent, or capability is assigned a confidence level based on available evidence. For instance, observed execution techniques and lateral-movement behaviors can be documented with associated probabilities, while gaps in knowledge</w:t>
      </w:r>
      <w:r>
        <w:rPr>
          <w:lang w:val="en-US"/>
        </w:rPr>
        <w:t xml:space="preserve">, </w:t>
      </w:r>
      <w:r w:rsidRPr="00152121">
        <w:rPr>
          <w:lang w:val="en-US"/>
        </w:rPr>
        <w:t>such as differences in malware or infrastructure</w:t>
      </w:r>
      <w:r>
        <w:rPr>
          <w:lang w:val="en-US"/>
        </w:rPr>
        <w:t xml:space="preserve">, </w:t>
      </w:r>
      <w:r w:rsidRPr="00152121">
        <w:rPr>
          <w:lang w:val="en-US"/>
        </w:rPr>
        <w:t>are explicitly noted as sources of uncertainty.</w:t>
      </w:r>
    </w:p>
    <w:p w14:paraId="5E160A30" w14:textId="77777777" w:rsidR="00152121" w:rsidRPr="00152121" w:rsidRDefault="00152121" w:rsidP="00152121">
      <w:pPr>
        <w:rPr>
          <w:lang w:val="en-US"/>
        </w:rPr>
      </w:pPr>
      <w:r w:rsidRPr="00152121">
        <w:rPr>
          <w:lang w:val="en-US"/>
        </w:rPr>
        <w:t xml:space="preserve">This method allows security teams to prioritize defensive measures according to the most likely and impactful risks, rather than waiting for definitive attribution. It also encourages decision-makers to distinguish between observed facts (e.g., techniques used), inferred hypotheses (e.g., likely actor type), and assumptions, making the rationale for defensive actions transparent to executives and regulators. Techniques such as </w:t>
      </w:r>
      <w:r w:rsidRPr="00152121">
        <w:rPr>
          <w:b/>
          <w:bCs/>
          <w:lang w:val="en-US"/>
        </w:rPr>
        <w:t>scenario-based planning</w:t>
      </w:r>
      <w:r w:rsidRPr="00152121">
        <w:rPr>
          <w:lang w:val="en-US"/>
        </w:rPr>
        <w:t xml:space="preserve"> and </w:t>
      </w:r>
      <w:r w:rsidRPr="00152121">
        <w:rPr>
          <w:b/>
          <w:bCs/>
          <w:lang w:val="en-US"/>
        </w:rPr>
        <w:t>decision matrices</w:t>
      </w:r>
      <w:r w:rsidRPr="00152121">
        <w:rPr>
          <w:lang w:val="en-US"/>
        </w:rPr>
        <w:t xml:space="preserve"> can supplement probabilistic reasoning by evaluating potential consequences across different attribution hypotheses, ensuring that mitigation actions remain effective even if initial assumptions about the actor prove incorrect. This balances rapid defense with responsible risk communication under uncertainty.</w:t>
      </w:r>
    </w:p>
    <w:p w14:paraId="6B3049F9" w14:textId="0E91CC4D" w:rsidR="00152121" w:rsidRDefault="00152121">
      <w:pPr>
        <w:rPr>
          <w:lang w:val="en-US"/>
        </w:rPr>
      </w:pPr>
    </w:p>
    <w:p w14:paraId="5768C3B1" w14:textId="48992864" w:rsidR="00152121" w:rsidRPr="00152121" w:rsidRDefault="00152121" w:rsidP="00152121">
      <w:pPr>
        <w:rPr>
          <w:lang w:val="en-US"/>
        </w:rPr>
      </w:pPr>
      <w:r>
        <w:rPr>
          <w:lang w:val="en-US"/>
        </w:rPr>
        <w:t xml:space="preserve">4. </w:t>
      </w:r>
      <w:r w:rsidRPr="00152121">
        <w:rPr>
          <w:lang w:val="en-US"/>
        </w:rPr>
        <w:t>Defenders should balance government advisories and commercial intelligence by treating each as complementary sources while carefully accounting for differences in transparency, detail, and reliability. Government advisories often provide strategic context, highlight sensitive threats, and may be limited in technical specificity due to classification. Commercial intelligence, on the other hand, frequently offers more granular indicators, such as malware signatures, command-and-control infrastructure, and attack techniques, but may contain conflicting interpretations or be influenced by market incentives.</w:t>
      </w:r>
      <w:r>
        <w:rPr>
          <w:lang w:val="en-US"/>
        </w:rPr>
        <w:br/>
      </w:r>
      <w:r w:rsidRPr="00152121">
        <w:rPr>
          <w:lang w:val="en-US"/>
        </w:rPr>
        <w:lastRenderedPageBreak/>
        <w:t xml:space="preserve">A practical approach is to use government guidance to establish </w:t>
      </w:r>
      <w:r w:rsidRPr="00152121">
        <w:rPr>
          <w:b/>
          <w:bCs/>
          <w:lang w:val="en-US"/>
        </w:rPr>
        <w:t>high-level risk priorities</w:t>
      </w:r>
      <w:r w:rsidRPr="00152121">
        <w:rPr>
          <w:lang w:val="en-US"/>
        </w:rPr>
        <w:t xml:space="preserve"> and inform policy or regulatory compliance decisions, while leveraging commercial intelligence for </w:t>
      </w:r>
      <w:r w:rsidRPr="00152121">
        <w:rPr>
          <w:b/>
          <w:bCs/>
          <w:lang w:val="en-US"/>
        </w:rPr>
        <w:t>tactical and operational actions</w:t>
      </w:r>
      <w:r w:rsidRPr="00152121">
        <w:rPr>
          <w:lang w:val="en-US"/>
        </w:rPr>
        <w:t xml:space="preserve"> such as detection tuning, incident investigation, and immediate mitigation. Conflicts between sources should trigger a structured review process, where discrepancies are documented, assumptions are clarified, and defensive actions focus on </w:t>
      </w:r>
      <w:r w:rsidRPr="00152121">
        <w:rPr>
          <w:b/>
          <w:bCs/>
          <w:lang w:val="en-US"/>
        </w:rPr>
        <w:t>shared, observable behaviors</w:t>
      </w:r>
      <w:r w:rsidRPr="00152121">
        <w:rPr>
          <w:lang w:val="en-US"/>
        </w:rPr>
        <w:t xml:space="preserve"> rather than uncertain attribution. By explicitly acknowledging differences in transparency and confidence, defenders can justify decisions to executives and regulators, implement robust defenses, and avoid overreliance on either source while maintaining adaptability as new information emerges.</w:t>
      </w:r>
    </w:p>
    <w:p w14:paraId="7E11009E" w14:textId="69285509" w:rsidR="00152121" w:rsidRDefault="00152121">
      <w:pPr>
        <w:rPr>
          <w:lang w:val="en-US"/>
        </w:rPr>
      </w:pPr>
    </w:p>
    <w:p w14:paraId="3A26A817" w14:textId="1DFE915E" w:rsidR="00152121" w:rsidRPr="00152121" w:rsidRDefault="00152121" w:rsidP="00152121">
      <w:pPr>
        <w:rPr>
          <w:lang w:val="en-US"/>
        </w:rPr>
      </w:pPr>
      <w:r>
        <w:rPr>
          <w:lang w:val="en-US"/>
        </w:rPr>
        <w:t xml:space="preserve">5. </w:t>
      </w:r>
      <w:r w:rsidRPr="00152121">
        <w:rPr>
          <w:lang w:val="en-US"/>
        </w:rPr>
        <w:t>Overconfidence in attribution can significantly distort long-term security architecture and investment decisions by leading organizations to prioritize defenses that align with perceived threats rather than actual risk. If leadership assumes with high certainty that a specific nation-state or criminal actor is responsible, they may focus on mitigating techniques traditionally associated with that actor, potentially neglecting other attack vectors or emerging threats. For example, investments might emphasize sophisticated intrusion detection for advanced persistent threats while underfunding basic hygiene measures such as patch management, network segmentation, or access controls, which are effective against a broader range of attackers.</w:t>
      </w:r>
      <w:r>
        <w:rPr>
          <w:lang w:val="en-US"/>
        </w:rPr>
        <w:br/>
      </w:r>
      <w:r w:rsidRPr="00152121">
        <w:rPr>
          <w:lang w:val="en-US"/>
        </w:rPr>
        <w:t>This bias can also influence strategic decisions such as technology selection, outsourcing, and staffing. Overconfidence may justify costly tools or services designed to counter a perceived adversary that may never target the organization, creating inefficiencies and diverting resources from more probable risks. Additionally, architectural decisions may be made under incorrect assumptions, such as trusting specific network segmentation schemes or vendor products to counter the “expected” actor, leaving unseen gaps exploitable by other threats. By misaligning security investment with actual risk exposure, overconfident attribution reduces resilience, amplifies systemic vulnerabilities, and can ultimately erode both operational security and executive credibility when reality deviates from the attribution-based assumptions.</w:t>
      </w:r>
    </w:p>
    <w:p w14:paraId="7F29FB65" w14:textId="780B6041" w:rsidR="00152121" w:rsidRDefault="00152121">
      <w:pPr>
        <w:rPr>
          <w:lang w:val="en-US"/>
        </w:rPr>
      </w:pPr>
    </w:p>
    <w:p w14:paraId="1D182D7A" w14:textId="77777777" w:rsidR="00152121" w:rsidRDefault="00152121">
      <w:pPr>
        <w:rPr>
          <w:lang w:val="en-US"/>
        </w:rPr>
      </w:pPr>
    </w:p>
    <w:p w14:paraId="7F306AF0" w14:textId="77777777" w:rsidR="00152121" w:rsidRDefault="00152121">
      <w:pPr>
        <w:rPr>
          <w:lang w:val="en-US"/>
        </w:rPr>
      </w:pPr>
    </w:p>
    <w:p w14:paraId="7187267D" w14:textId="333E8DE1" w:rsidR="00152121" w:rsidRPr="007F3AE1" w:rsidRDefault="007F3AE1">
      <w:pPr>
        <w:rPr>
          <w:u w:val="single"/>
          <w:lang w:val="en-US"/>
        </w:rPr>
      </w:pPr>
      <w:r w:rsidRPr="007F3AE1">
        <w:rPr>
          <w:u w:val="single"/>
          <w:lang w:val="en-US"/>
        </w:rPr>
        <w:t>Ambiguous Endpoint Activity with Ephemeral Indicators</w:t>
      </w:r>
    </w:p>
    <w:p w14:paraId="288E1D75" w14:textId="77777777" w:rsidR="007F3AE1" w:rsidRDefault="007F3AE1">
      <w:pPr>
        <w:rPr>
          <w:lang w:val="en-US"/>
        </w:rPr>
      </w:pPr>
    </w:p>
    <w:p w14:paraId="6B53D3ED" w14:textId="4F7652D1" w:rsidR="007F3AE1" w:rsidRPr="007F3AE1" w:rsidRDefault="007F3AE1" w:rsidP="007F3AE1">
      <w:pPr>
        <w:rPr>
          <w:lang w:val="en-US"/>
        </w:rPr>
      </w:pPr>
      <w:r>
        <w:rPr>
          <w:lang w:val="en-US"/>
        </w:rPr>
        <w:t xml:space="preserve">1. </w:t>
      </w:r>
      <w:r w:rsidRPr="007F3AE1">
        <w:rPr>
          <w:lang w:val="en-US"/>
        </w:rPr>
        <w:t>The absence of persistent artifacts in this scenario could indicate several possibilities, and distinguishing among them requires careful interpretation of the observed behavior. One possibility is that the intrusion is incomplete, meaning the attacker’s actions are limited to reconnaissance or temporary access without establishing long-term footholds. In this case, the lack of registry changes, dropped binaries, or persistence mechanisms may simply reflect that the attacker has not yet executed the later stages of a full compromise.</w:t>
      </w:r>
      <w:r>
        <w:rPr>
          <w:lang w:val="en-US"/>
        </w:rPr>
        <w:br/>
      </w:r>
      <w:r w:rsidRPr="007F3AE1">
        <w:rPr>
          <w:lang w:val="en-US"/>
        </w:rPr>
        <w:t>Another possibility is that the campaign is deliberately ephemeral. Some advanced attackers intentionally avoid leaving persistent traces to reduce detection risk, using memory-resident tools, living-off-the-land techniques, or script-based execution to achieve objectives without leaving artifacts on disk. The observed abnormal process lineage involving legitimate system processes such as wmiprvse.exe and rundll32.exe supports this scenario, as these techniques are commonly used in fileless or short-lived attacks.</w:t>
      </w:r>
      <w:r>
        <w:rPr>
          <w:lang w:val="en-US"/>
        </w:rPr>
        <w:br/>
      </w:r>
      <w:r w:rsidRPr="007F3AE1">
        <w:rPr>
          <w:lang w:val="en-US"/>
        </w:rPr>
        <w:t>Finally, the absence of artifacts may reflect a detection gap. Inconsistent PowerShell logging and gaps in AMSI coverage suggest that existing monitoring tools may not capture all execution events or memory-</w:t>
      </w:r>
      <w:r w:rsidRPr="007F3AE1">
        <w:rPr>
          <w:lang w:val="en-US"/>
        </w:rPr>
        <w:lastRenderedPageBreak/>
        <w:t>resident activity. In practice, the reality may combine these factors, meaning that analysts must treat behavioral indicators seriously even in the absence of persistent evidence while acknowledging uncertainty in attribution and attack scope.</w:t>
      </w:r>
    </w:p>
    <w:p w14:paraId="5957D28F" w14:textId="09F62DDA" w:rsidR="007F3AE1" w:rsidRDefault="007F3AE1">
      <w:pPr>
        <w:rPr>
          <w:lang w:val="en-US"/>
        </w:rPr>
      </w:pPr>
    </w:p>
    <w:p w14:paraId="371A0777" w14:textId="7B3FDFCA" w:rsidR="007F3AE1" w:rsidRPr="007F3AE1" w:rsidRDefault="007F3AE1" w:rsidP="007F3AE1">
      <w:pPr>
        <w:rPr>
          <w:lang w:val="en-US"/>
        </w:rPr>
      </w:pPr>
      <w:r>
        <w:rPr>
          <w:lang w:val="en-US"/>
        </w:rPr>
        <w:t xml:space="preserve">2. </w:t>
      </w:r>
      <w:r w:rsidRPr="007F3AE1">
        <w:rPr>
          <w:lang w:val="en-US"/>
        </w:rPr>
        <w:t>Current endpoint telemetry models often struggle against attackers who deliberately avoid persistence and unique infrastructure because these models are primarily designed to detect anomalous artifacts, file drops, registry modifications, or established malware signatures. Traditional detection mechanisms</w:t>
      </w:r>
      <w:r>
        <w:rPr>
          <w:lang w:val="en-US"/>
        </w:rPr>
        <w:t xml:space="preserve">, </w:t>
      </w:r>
      <w:r w:rsidRPr="007F3AE1">
        <w:rPr>
          <w:lang w:val="en-US"/>
        </w:rPr>
        <w:t>including EDR alerts, AMSI monitoring, and PowerShell logging</w:t>
      </w:r>
      <w:r>
        <w:rPr>
          <w:lang w:val="en-US"/>
        </w:rPr>
        <w:t xml:space="preserve">, </w:t>
      </w:r>
      <w:r w:rsidRPr="007F3AE1">
        <w:rPr>
          <w:lang w:val="en-US"/>
        </w:rPr>
        <w:t xml:space="preserve">rely on observable changes to the system or suspicious binaries, which ephemeral or fileless attacks purposefully minimize or bypass. For example, when attackers use living-off-the-land techniques, abusing legitimate system processes such as </w:t>
      </w:r>
      <w:r w:rsidRPr="007F3AE1">
        <w:rPr>
          <w:u w:val="single"/>
          <w:lang w:val="en-US"/>
        </w:rPr>
        <w:t>wmiprvse.exe</w:t>
      </w:r>
      <w:r w:rsidRPr="007F3AE1">
        <w:rPr>
          <w:lang w:val="en-US"/>
        </w:rPr>
        <w:t xml:space="preserve"> and </w:t>
      </w:r>
      <w:r w:rsidRPr="007F3AE1">
        <w:rPr>
          <w:u w:val="single"/>
          <w:lang w:val="en-US"/>
        </w:rPr>
        <w:t>rundll32.exe</w:t>
      </w:r>
      <w:r w:rsidRPr="007F3AE1">
        <w:rPr>
          <w:lang w:val="en-US"/>
        </w:rPr>
        <w:t>, telemetry may register only subtle anomalies in process lineage or memory activity that are difficult to distinguish from normal system behavior.</w:t>
      </w:r>
    </w:p>
    <w:p w14:paraId="7C9D3E7D" w14:textId="088FC8E2" w:rsidR="007F3AE1" w:rsidRDefault="007F3AE1" w:rsidP="007F3AE1">
      <w:pPr>
        <w:rPr>
          <w:lang w:val="en-US"/>
        </w:rPr>
      </w:pPr>
      <w:r w:rsidRPr="007F3AE1">
        <w:rPr>
          <w:lang w:val="en-US"/>
        </w:rPr>
        <w:t>This limitation creates blind spots, particularly when attackers leverage widely trusted infrastructure such as SaaS platforms or standard OS tools. The lack of persistent indicators reduces confidence in automated alerting and complicates incident prioritization. Additionally, gaps in coverage, such as inconsistent logging or incomplete AMSI integration, can allow these short-lived or memory-resident attacks to escape detection entirely. As a result, endpoint telemetry models often detect only a fraction of such activity, emphasizing the need for complementary monitoring approaches</w:t>
      </w:r>
      <w:r>
        <w:rPr>
          <w:lang w:val="en-US"/>
        </w:rPr>
        <w:t xml:space="preserve">, </w:t>
      </w:r>
      <w:r w:rsidRPr="007F3AE1">
        <w:rPr>
          <w:lang w:val="en-US"/>
        </w:rPr>
        <w:t>behavioral analysis, anomaly detection, network-based telemetry, and threat hunting</w:t>
      </w:r>
      <w:r>
        <w:rPr>
          <w:lang w:val="en-US"/>
        </w:rPr>
        <w:t xml:space="preserve">, </w:t>
      </w:r>
      <w:r w:rsidRPr="007F3AE1">
        <w:rPr>
          <w:lang w:val="en-US"/>
        </w:rPr>
        <w:t>to identify malicious activity that does not produce traditional artifacts.</w:t>
      </w:r>
    </w:p>
    <w:p w14:paraId="1EEFF87B" w14:textId="77777777" w:rsidR="007F3AE1" w:rsidRPr="007F3AE1" w:rsidRDefault="007F3AE1" w:rsidP="007F3AE1">
      <w:pPr>
        <w:rPr>
          <w:lang w:val="en-US"/>
        </w:rPr>
      </w:pPr>
    </w:p>
    <w:p w14:paraId="580277FF" w14:textId="36AF9621" w:rsidR="007F3AE1" w:rsidRPr="007F3AE1" w:rsidRDefault="007F3AE1" w:rsidP="007F3AE1">
      <w:pPr>
        <w:rPr>
          <w:lang w:val="en-US"/>
        </w:rPr>
      </w:pPr>
      <w:r>
        <w:rPr>
          <w:lang w:val="en-US"/>
        </w:rPr>
        <w:t xml:space="preserve">3. </w:t>
      </w:r>
      <w:r w:rsidRPr="007F3AE1">
        <w:rPr>
          <w:lang w:val="en-US"/>
        </w:rPr>
        <w:t xml:space="preserve">Under conditions of deliberate attacker minimalism, an </w:t>
      </w:r>
      <w:r w:rsidRPr="007F3AE1">
        <w:rPr>
          <w:b/>
          <w:bCs/>
          <w:lang w:val="en-US"/>
        </w:rPr>
        <w:t>anomaly- and behavior-focused detection philosophy</w:t>
      </w:r>
      <w:r w:rsidRPr="007F3AE1">
        <w:rPr>
          <w:lang w:val="en-US"/>
        </w:rPr>
        <w:t xml:space="preserve"> remains the most effective. Rather than relying on traditional artifact-based signatures, this approach emphasizes identifying deviations from normal system and user behavior. For example, in this scenario, the SOC observes unusual process lineage</w:t>
      </w:r>
      <w:r>
        <w:rPr>
          <w:lang w:val="en-US"/>
        </w:rPr>
        <w:t xml:space="preserve">, </w:t>
      </w:r>
      <w:r w:rsidRPr="007F3AE1">
        <w:rPr>
          <w:u w:val="single"/>
          <w:lang w:val="en-US"/>
        </w:rPr>
        <w:t>wmiprvse.exe</w:t>
      </w:r>
      <w:r w:rsidRPr="007F3AE1">
        <w:rPr>
          <w:lang w:val="en-US"/>
        </w:rPr>
        <w:t xml:space="preserve"> spawning </w:t>
      </w:r>
      <w:r w:rsidRPr="007F3AE1">
        <w:rPr>
          <w:u w:val="single"/>
          <w:lang w:val="en-US"/>
        </w:rPr>
        <w:t>rundll32.exe</w:t>
      </w:r>
      <w:r>
        <w:rPr>
          <w:lang w:val="en-US"/>
        </w:rPr>
        <w:t xml:space="preserve">, </w:t>
      </w:r>
      <w:r w:rsidRPr="007F3AE1">
        <w:rPr>
          <w:lang w:val="en-US"/>
        </w:rPr>
        <w:t>and sporadic outbound TLS connections. Individually, these events may appear benign, but when analyzed in context and correlated across endpoints, they reveal patterns inconsistent with standard operational behavior.</w:t>
      </w:r>
      <w:r>
        <w:rPr>
          <w:lang w:val="en-US"/>
        </w:rPr>
        <w:br/>
      </w:r>
      <w:r w:rsidRPr="007F3AE1">
        <w:rPr>
          <w:lang w:val="en-US"/>
        </w:rPr>
        <w:t xml:space="preserve">Effective detection in minimalist attacks also relies on </w:t>
      </w:r>
      <w:r w:rsidRPr="007F3AE1">
        <w:rPr>
          <w:b/>
          <w:bCs/>
          <w:lang w:val="en-US"/>
        </w:rPr>
        <w:t>contextual and holistic telemetry</w:t>
      </w:r>
      <w:r w:rsidRPr="007F3AE1">
        <w:rPr>
          <w:lang w:val="en-US"/>
        </w:rPr>
        <w:t>. Endpoint events must be combined with network traffic analysis, cloud and SaaS platform monitoring, and cross-host correlations to identify subtle indicators of compromise. Techniques such as statistical anomaly detection, machine learning models trained on normal baseline activity, and proactive threat hunting allow defenders to recognize deviations even when attackers avoid persistence or unique infrastructure. Importantly, this philosophy emphasizes continuous monitoring, hypothesis-driven investigation, and careful inference rather than waiting for concrete artifacts, enabling timely detection and response despite the adversary’s efforts to remain ephemeral.</w:t>
      </w:r>
    </w:p>
    <w:p w14:paraId="2B30E44E" w14:textId="71C243FB" w:rsidR="007F3AE1" w:rsidRDefault="007F3AE1">
      <w:pPr>
        <w:rPr>
          <w:lang w:val="en-US"/>
        </w:rPr>
      </w:pPr>
    </w:p>
    <w:p w14:paraId="77D82139" w14:textId="7E3C6684" w:rsidR="007F3AE1" w:rsidRPr="007F3AE1" w:rsidRDefault="007F3AE1" w:rsidP="007F3AE1">
      <w:pPr>
        <w:rPr>
          <w:lang w:val="en-US"/>
        </w:rPr>
      </w:pPr>
      <w:r>
        <w:rPr>
          <w:lang w:val="en-US"/>
        </w:rPr>
        <w:t xml:space="preserve">4. </w:t>
      </w:r>
      <w:r w:rsidRPr="007F3AE1">
        <w:rPr>
          <w:lang w:val="en-US"/>
        </w:rPr>
        <w:t>Timeline variance across hosts introduces significant uncertainty in scoping and containment decisions because it obscures whether the observed activity represents a single coordinated campaign, multiple unrelated incidents, or benign anomalies. When endpoints show slightly different initiation times for the same behavior, analysts cannot immediately determine the attack’s propagation pattern, lateral movement potential, or overall impact. This uncertainty complicates decisions about which systems require urgent isolation, what network segments to monitor more closely, and whether broad containment measures</w:t>
      </w:r>
      <w:r>
        <w:rPr>
          <w:lang w:val="en-US"/>
        </w:rPr>
        <w:t xml:space="preserve">, </w:t>
      </w:r>
      <w:r w:rsidRPr="007F3AE1">
        <w:rPr>
          <w:lang w:val="en-US"/>
        </w:rPr>
        <w:t>such as network-wide segmentation or endpoint quarantines</w:t>
      </w:r>
      <w:r>
        <w:rPr>
          <w:lang w:val="en-US"/>
        </w:rPr>
        <w:t xml:space="preserve">, </w:t>
      </w:r>
      <w:r w:rsidRPr="007F3AE1">
        <w:rPr>
          <w:lang w:val="en-US"/>
        </w:rPr>
        <w:t>are warranted.</w:t>
      </w:r>
      <w:r>
        <w:rPr>
          <w:lang w:val="en-US"/>
        </w:rPr>
        <w:br/>
      </w:r>
      <w:r w:rsidRPr="007F3AE1">
        <w:rPr>
          <w:lang w:val="en-US"/>
        </w:rPr>
        <w:t xml:space="preserve">Low confidence in the timeline also affects prioritization. Acting too aggressively could disrupt legitimate operations if the events are benign or unrelated, whereas delaying containment risks allowing a genuine attacker to expand access. Therefore, analysts must integrate cross-host correlation, behavioral context, </w:t>
      </w:r>
      <w:r w:rsidRPr="007F3AE1">
        <w:rPr>
          <w:lang w:val="en-US"/>
        </w:rPr>
        <w:lastRenderedPageBreak/>
        <w:t>and historical baselines to make probabilistic inferences about the scope of activity. Clear documentation of assumptions and confidence levels is critical, as it allows decision-makers to weigh operational disruption against potential risk and justifies escalation strategies under uncertainty.</w:t>
      </w:r>
    </w:p>
    <w:p w14:paraId="618138E1" w14:textId="397F7EC5" w:rsidR="007F3AE1" w:rsidRDefault="007F3AE1">
      <w:pPr>
        <w:rPr>
          <w:lang w:val="en-US"/>
        </w:rPr>
      </w:pPr>
    </w:p>
    <w:p w14:paraId="680AFF28" w14:textId="583144F0" w:rsidR="007F3AE1" w:rsidRPr="007F3AE1" w:rsidRDefault="007F3AE1" w:rsidP="007F3AE1">
      <w:pPr>
        <w:rPr>
          <w:lang w:val="en-US"/>
        </w:rPr>
      </w:pPr>
      <w:r>
        <w:rPr>
          <w:lang w:val="en-US"/>
        </w:rPr>
        <w:t xml:space="preserve">5. </w:t>
      </w:r>
      <w:r w:rsidRPr="007F3AE1">
        <w:rPr>
          <w:lang w:val="en-US"/>
        </w:rPr>
        <w:t xml:space="preserve">Containment based primarily on behavioral inference can be justified when the risk assumptions prioritize </w:t>
      </w:r>
      <w:r w:rsidRPr="007F3AE1">
        <w:rPr>
          <w:b/>
          <w:bCs/>
          <w:lang w:val="en-US"/>
        </w:rPr>
        <w:t>potential impact over confirmed compromise</w:t>
      </w:r>
      <w:r w:rsidRPr="007F3AE1">
        <w:rPr>
          <w:lang w:val="en-US"/>
        </w:rPr>
        <w:t xml:space="preserve"> and acknowledge the limitations of artifact-based detection. In this scenario, the SOC observes anomalous process lineage, inconsistent PowerShell logging, and outbound TLS connections</w:t>
      </w:r>
      <w:r>
        <w:rPr>
          <w:lang w:val="en-US"/>
        </w:rPr>
        <w:t xml:space="preserve">, </w:t>
      </w:r>
      <w:r w:rsidRPr="007F3AE1">
        <w:rPr>
          <w:lang w:val="en-US"/>
        </w:rPr>
        <w:t>indicators that suggest possible malicious activity, even though no persistent artifacts are present. The assumption is that an attacker could leverage these behaviors to exfiltrate data, move laterally, or disrupt services if left unmitigated.</w:t>
      </w:r>
    </w:p>
    <w:p w14:paraId="08EB9D3E" w14:textId="77777777" w:rsidR="007F3AE1" w:rsidRPr="007F3AE1" w:rsidRDefault="007F3AE1" w:rsidP="007F3AE1">
      <w:pPr>
        <w:rPr>
          <w:lang w:val="en-US"/>
        </w:rPr>
      </w:pPr>
      <w:r w:rsidRPr="007F3AE1">
        <w:rPr>
          <w:lang w:val="en-US"/>
        </w:rPr>
        <w:t>This approach is defensible when the organization assumes that:</w:t>
      </w:r>
    </w:p>
    <w:p w14:paraId="51FC02BA" w14:textId="77777777" w:rsidR="007F3AE1" w:rsidRPr="007F3AE1" w:rsidRDefault="007F3AE1" w:rsidP="007F3AE1">
      <w:pPr>
        <w:numPr>
          <w:ilvl w:val="0"/>
          <w:numId w:val="1"/>
        </w:numPr>
        <w:rPr>
          <w:lang w:val="en-US"/>
        </w:rPr>
      </w:pPr>
      <w:r w:rsidRPr="007F3AE1">
        <w:rPr>
          <w:b/>
          <w:bCs/>
          <w:lang w:val="en-US"/>
        </w:rPr>
        <w:t>Ephemeral or fileless attacks are credible threats</w:t>
      </w:r>
      <w:r w:rsidRPr="007F3AE1">
        <w:rPr>
          <w:lang w:val="en-US"/>
        </w:rPr>
        <w:t>, meaning that lack of observable persistence does not equate to safety.</w:t>
      </w:r>
    </w:p>
    <w:p w14:paraId="4C01840B" w14:textId="77777777" w:rsidR="007F3AE1" w:rsidRPr="007F3AE1" w:rsidRDefault="007F3AE1" w:rsidP="007F3AE1">
      <w:pPr>
        <w:numPr>
          <w:ilvl w:val="0"/>
          <w:numId w:val="1"/>
        </w:numPr>
        <w:rPr>
          <w:lang w:val="en-US"/>
        </w:rPr>
      </w:pPr>
      <w:r w:rsidRPr="007F3AE1">
        <w:rPr>
          <w:b/>
          <w:bCs/>
          <w:lang w:val="en-US"/>
        </w:rPr>
        <w:t>Behavioral deviations correlate with elevated risk</w:t>
      </w:r>
      <w:r w:rsidRPr="007F3AE1">
        <w:rPr>
          <w:lang w:val="en-US"/>
        </w:rPr>
        <w:t>, so unusual activity patterns are sufficient to warrant preemptive action.</w:t>
      </w:r>
    </w:p>
    <w:p w14:paraId="7133781A" w14:textId="77777777" w:rsidR="007F3AE1" w:rsidRPr="007F3AE1" w:rsidRDefault="007F3AE1" w:rsidP="007F3AE1">
      <w:pPr>
        <w:numPr>
          <w:ilvl w:val="0"/>
          <w:numId w:val="1"/>
        </w:numPr>
        <w:rPr>
          <w:lang w:val="en-US"/>
        </w:rPr>
      </w:pPr>
      <w:r w:rsidRPr="007F3AE1">
        <w:rPr>
          <w:b/>
          <w:bCs/>
          <w:lang w:val="en-US"/>
        </w:rPr>
        <w:t>Operational disruption from containment is acceptable relative to potential impact</w:t>
      </w:r>
      <w:r w:rsidRPr="007F3AE1">
        <w:rPr>
          <w:lang w:val="en-US"/>
        </w:rPr>
        <w:t>, especially in high-value or sensitive environments.</w:t>
      </w:r>
    </w:p>
    <w:p w14:paraId="5E93830A" w14:textId="77777777" w:rsidR="007F3AE1" w:rsidRPr="007F3AE1" w:rsidRDefault="007F3AE1" w:rsidP="007F3AE1">
      <w:pPr>
        <w:numPr>
          <w:ilvl w:val="0"/>
          <w:numId w:val="1"/>
        </w:numPr>
        <w:rPr>
          <w:lang w:val="en-US"/>
        </w:rPr>
      </w:pPr>
      <w:r w:rsidRPr="007F3AE1">
        <w:rPr>
          <w:b/>
          <w:bCs/>
          <w:lang w:val="en-US"/>
        </w:rPr>
        <w:t>Cross-host correlation increases confidence</w:t>
      </w:r>
      <w:r w:rsidRPr="007F3AE1">
        <w:rPr>
          <w:lang w:val="en-US"/>
        </w:rPr>
        <w:t>, even without artifacts, because multiple endpoints showing similar anomalies strengthen the inference.</w:t>
      </w:r>
    </w:p>
    <w:p w14:paraId="5C1711BD" w14:textId="43988CE8" w:rsidR="007F3AE1" w:rsidRPr="007F3AE1" w:rsidRDefault="007F3AE1" w:rsidP="007F3AE1">
      <w:pPr>
        <w:rPr>
          <w:lang w:val="en-US"/>
        </w:rPr>
      </w:pPr>
      <w:r w:rsidRPr="007F3AE1">
        <w:rPr>
          <w:lang w:val="en-US"/>
        </w:rPr>
        <w:t>Under these assumptions, containment decisions</w:t>
      </w:r>
      <w:r>
        <w:rPr>
          <w:lang w:val="en-US"/>
        </w:rPr>
        <w:t xml:space="preserve">, </w:t>
      </w:r>
      <w:r w:rsidRPr="007F3AE1">
        <w:rPr>
          <w:lang w:val="en-US"/>
        </w:rPr>
        <w:t>such as network segmentation, temporary isolation of affected endpoints, or enhanced monitoring</w:t>
      </w:r>
      <w:r>
        <w:rPr>
          <w:lang w:val="en-US"/>
        </w:rPr>
        <w:t xml:space="preserve">, </w:t>
      </w:r>
      <w:r w:rsidRPr="007F3AE1">
        <w:rPr>
          <w:lang w:val="en-US"/>
        </w:rPr>
        <w:t>can be justified as risk-mitigating measures rather than reactions to confirmed compromise, balancing proactive defense with uncertainty.</w:t>
      </w:r>
    </w:p>
    <w:p w14:paraId="222EF0AA" w14:textId="7C106A34" w:rsidR="007F3AE1" w:rsidRDefault="007F3AE1">
      <w:pPr>
        <w:rPr>
          <w:lang w:val="en-US"/>
        </w:rPr>
      </w:pPr>
    </w:p>
    <w:p w14:paraId="3C49FDB5" w14:textId="77777777" w:rsidR="007F3AE1" w:rsidRDefault="007F3AE1">
      <w:pPr>
        <w:rPr>
          <w:lang w:val="en-US"/>
        </w:rPr>
      </w:pPr>
    </w:p>
    <w:p w14:paraId="2E7A2294" w14:textId="15D34489" w:rsidR="007F3AE1" w:rsidRPr="007F3AE1" w:rsidRDefault="007F3AE1" w:rsidP="007F3AE1">
      <w:pPr>
        <w:rPr>
          <w:u w:val="single"/>
          <w:lang w:val="en-US"/>
        </w:rPr>
      </w:pPr>
      <w:r w:rsidRPr="007F3AE1">
        <w:rPr>
          <w:u w:val="single"/>
          <w:lang w:val="en-US"/>
        </w:rPr>
        <w:br/>
      </w:r>
      <w:r w:rsidRPr="007F3AE1">
        <w:rPr>
          <w:b/>
          <w:bCs/>
          <w:u w:val="single"/>
          <w:lang w:val="en-US"/>
        </w:rPr>
        <w:t>Ethical and Governance Challenges in AI-Driven Red-Team Exercises</w:t>
      </w:r>
    </w:p>
    <w:p w14:paraId="1E8D53F8" w14:textId="7D96D939" w:rsidR="007F3AE1" w:rsidRPr="00DD54FD" w:rsidRDefault="007F3AE1" w:rsidP="007F3AE1">
      <w:pPr>
        <w:rPr>
          <w:lang w:val="en-US"/>
        </w:rPr>
      </w:pPr>
    </w:p>
    <w:p w14:paraId="277B5679" w14:textId="0974B838" w:rsidR="007F3AE1" w:rsidRDefault="007F3AE1" w:rsidP="007F3AE1">
      <w:pPr>
        <w:rPr>
          <w:lang w:val="en-US"/>
        </w:rPr>
      </w:pPr>
      <w:r>
        <w:rPr>
          <w:lang w:val="en-US"/>
        </w:rPr>
        <w:t xml:space="preserve">1. </w:t>
      </w:r>
      <w:r w:rsidRPr="007F3AE1">
        <w:rPr>
          <w:lang w:val="en-US"/>
        </w:rPr>
        <w:t>Informed consent in security testing that relies on deception and AI-driven personalization is inherently limited and often only partially achievable. By design, realistic exercises require participants to encounter scenarios that mimic actual attacks, including phishing messages that appear to come from trusted colleagues. Fully informing employees in advance would compromise the exercise, reducing its effectiveness and the ability to measure genuine susceptibility or organizational response. Therefore, explicit individual consent for each test may not be practical or feasible in large, distributed enterprises.</w:t>
      </w:r>
      <w:r>
        <w:rPr>
          <w:lang w:val="en-US"/>
        </w:rPr>
        <w:br/>
        <w:t xml:space="preserve"> </w:t>
      </w:r>
      <w:r w:rsidRPr="007F3AE1">
        <w:rPr>
          <w:lang w:val="en-US"/>
        </w:rPr>
        <w:t>Despite these limitations, achieving a degree of ethical oversight is necessary. Organizations can implement governance controls such as broad notification policies that employees may be subject to security exercises, ensuring legal and regulatory compliance across jurisdictions. Additionally, testing plans should be approved by senior leadership and legal counsel, with explicit consideration of proportionality, potential distress, and mechanisms for immediate support if employees experience harm. In this way, informed consent is balanced against operational objectives, and ethical responsibility is maintained by clearly defining boundaries, maintaining transparency at an organizational level, and mitigating undue risk to participants while preserving the realism necessary for effective security testing.</w:t>
      </w:r>
    </w:p>
    <w:p w14:paraId="73C1DCB3" w14:textId="77777777" w:rsidR="007F3AE1" w:rsidRDefault="007F3AE1" w:rsidP="007F3AE1">
      <w:pPr>
        <w:rPr>
          <w:lang w:val="en-US"/>
        </w:rPr>
      </w:pPr>
    </w:p>
    <w:p w14:paraId="7B95D13F" w14:textId="0734CFF8" w:rsidR="007F3AE1" w:rsidRPr="007F3AE1" w:rsidRDefault="007F3AE1" w:rsidP="007F3AE1">
      <w:pPr>
        <w:rPr>
          <w:lang w:val="en-US"/>
        </w:rPr>
      </w:pPr>
      <w:r>
        <w:rPr>
          <w:lang w:val="en-US"/>
        </w:rPr>
        <w:lastRenderedPageBreak/>
        <w:t xml:space="preserve">2. </w:t>
      </w:r>
      <w:r w:rsidRPr="007F3AE1">
        <w:rPr>
          <w:lang w:val="en-US"/>
        </w:rPr>
        <w:t>Emerging AI capabilities significantly amplify the ethical risk profile of traditional red-team practices by increasing both the realism and scale of simulated attacks. AI-driven tools can generate highly personalized phishing messages, convincingly mimic internal communication styles, and adapt in real time to employee responses. This level of sophistication makes simulations more effective at exposing vulnerabilities but also increases the likelihood of emotional distress, confusion, or reputational harm if participants believe the attacks are genuine. Traditional safeguards, such as limiting scope or anonymizing scenarios, may be insufficient when AI can tailor content to an individual’s habits, role, or personal context.</w:t>
      </w:r>
      <w:r>
        <w:rPr>
          <w:lang w:val="en-US"/>
        </w:rPr>
        <w:br/>
      </w:r>
      <w:r w:rsidRPr="007F3AE1">
        <w:rPr>
          <w:lang w:val="en-US"/>
        </w:rPr>
        <w:t>AI also raises concerns about proportionality and professional responsibility. While conventional red-team exercises typically focus on organizational assets, AI enables near-human social engineering that directly engages employees’ perceptions, emotions, and behavior, creating ethical tension between operational realism and participant welfare. Furthermore, cross-jurisdictional implications become more complex because AI-driven personalization may inadvertently involve sensitive personal data, triggering legal obligations under privacy and labor regulations. Overall, the use of AI requires red teams to reassess ethical boundaries, ensure robust oversight, and integrate explicit mitigation strategies to prevent harm, even when the objective is purely educational or defensive.</w:t>
      </w:r>
    </w:p>
    <w:p w14:paraId="07339B30" w14:textId="3D896163" w:rsidR="007F3AE1" w:rsidRDefault="007F3AE1" w:rsidP="007F3AE1">
      <w:pPr>
        <w:rPr>
          <w:lang w:val="en-US"/>
        </w:rPr>
      </w:pPr>
    </w:p>
    <w:p w14:paraId="7A713752" w14:textId="5AD84490" w:rsidR="007F3AE1" w:rsidRPr="007F3AE1" w:rsidRDefault="007F3AE1" w:rsidP="007F3AE1">
      <w:pPr>
        <w:rPr>
          <w:lang w:val="en-US"/>
        </w:rPr>
      </w:pPr>
      <w:r>
        <w:rPr>
          <w:lang w:val="en-US"/>
        </w:rPr>
        <w:t xml:space="preserve">3. </w:t>
      </w:r>
      <w:r w:rsidRPr="007F3AE1">
        <w:rPr>
          <w:lang w:val="en-US"/>
        </w:rPr>
        <w:t>Yes, proportionality can be meaningfully assessed even when simulated harm primarily affects employees rather than technical systems, but it requires a shift in perspective from traditional risk metrics to human-centric considerations. In conventional red-team exercises, proportionality is often measured in terms of operational disruption, data exposure, or system downtime. When the focus is on employees’ experience, the potential for emotional distress, loss of trust, or reputational damage becomes the primary metric. Assessing proportionality in this context involves weighing the educational and defensive benefits of the exercise against the likelihood and severity of employee harm.</w:t>
      </w:r>
      <w:r>
        <w:rPr>
          <w:lang w:val="en-US"/>
        </w:rPr>
        <w:br/>
      </w:r>
      <w:r w:rsidRPr="007F3AE1">
        <w:rPr>
          <w:lang w:val="en-US"/>
        </w:rPr>
        <w:t>Factors that inform this assessment include the realism of the simulation, the sensitivity of the targeted employee population, the availability of support mechanisms, and the transparency of organizational policies. For example, AI-driven phishing that closely mimics trusted colleagues may be highly effective at identifying susceptibility but also increases the risk of significant stress or confusion. Proportionality is achieved when the simulated activity is sufficient to test cyber-resilience, improve awareness, or inform policy without causing undue distress or violating legal and ethical obligations. In practice, this requires careful planning, pre-approval from governance bodies, and post-exercise debriefing to balance operational objectives with employee well-being.</w:t>
      </w:r>
    </w:p>
    <w:p w14:paraId="792984C7" w14:textId="64643029" w:rsidR="007F3AE1" w:rsidRPr="007F3AE1" w:rsidRDefault="007F3AE1" w:rsidP="007F3AE1">
      <w:pPr>
        <w:rPr>
          <w:lang w:val="en-US"/>
        </w:rPr>
      </w:pPr>
    </w:p>
    <w:p w14:paraId="76E9EDE6" w14:textId="7D9E94C8" w:rsidR="007F3AE1" w:rsidRPr="007F3AE1" w:rsidRDefault="007F3AE1" w:rsidP="007F3AE1">
      <w:pPr>
        <w:rPr>
          <w:lang w:val="en-US"/>
        </w:rPr>
      </w:pPr>
      <w:r>
        <w:rPr>
          <w:lang w:val="en-US"/>
        </w:rPr>
        <w:t xml:space="preserve">4. </w:t>
      </w:r>
      <w:r w:rsidRPr="007F3AE1">
        <w:rPr>
          <w:lang w:val="en-US"/>
        </w:rPr>
        <w:t>Effective governance for AI-enabled security testing requires a multi-layered structure that integrates legal oversight, ethical review, operational control, and employee protection. At the highest level, executive leadership and corporate legal counsel must approve the testing scope, ensuring alignment with regulatory obligations across all relevant jurisdictions. This includes reviewing privacy laws, labor regulations, and consent requirements to prevent inadvertent legal violations.</w:t>
      </w:r>
      <w:r>
        <w:rPr>
          <w:lang w:val="en-US"/>
        </w:rPr>
        <w:br/>
      </w:r>
      <w:r w:rsidRPr="007F3AE1">
        <w:rPr>
          <w:lang w:val="en-US"/>
        </w:rPr>
        <w:t>Ethical oversight is also critical. An internal review board or security governance committee should evaluate the proportionality of simulated attacks, particularly when AI personalization could cause psychological distress. They should establish clear boundaries for acceptable deception, define which employee populations may be targeted, and mandate mechanisms for immediate support if distress occurs. Operational governance requires detailed planning and documentation, including well-defined rules of engagement, risk assessments, monitoring procedures, and incident response protocols.</w:t>
      </w:r>
      <w:r>
        <w:rPr>
          <w:lang w:val="en-US"/>
        </w:rPr>
        <w:br/>
      </w:r>
      <w:r w:rsidRPr="007F3AE1">
        <w:rPr>
          <w:lang w:val="en-US"/>
        </w:rPr>
        <w:t xml:space="preserve">Finally, post-exercise processes are essential to balance realism with psychological safety. These include structured debriefings, feedback collection, and lessons-learned sessions to ensure employees understand the purpose of the exercise and any implications for their behavior. By combining legal, </w:t>
      </w:r>
      <w:r w:rsidRPr="007F3AE1">
        <w:rPr>
          <w:lang w:val="en-US"/>
        </w:rPr>
        <w:lastRenderedPageBreak/>
        <w:t>ethical, operational, and post-activity governance, organizations can conduct realistic AI-driven red-team exercises while mitigating risks to employees and maintaining compliance and accountability.</w:t>
      </w:r>
    </w:p>
    <w:p w14:paraId="33D9BE97" w14:textId="075885BF" w:rsidR="007F3AE1" w:rsidRDefault="007F3AE1">
      <w:pPr>
        <w:rPr>
          <w:lang w:val="en-US"/>
        </w:rPr>
      </w:pPr>
    </w:p>
    <w:p w14:paraId="02849620" w14:textId="71284FC0" w:rsidR="007F3AE1" w:rsidRPr="007F3AE1" w:rsidRDefault="007F3AE1" w:rsidP="007F3AE1">
      <w:pPr>
        <w:rPr>
          <w:lang w:val="en-US"/>
        </w:rPr>
      </w:pPr>
      <w:r>
        <w:rPr>
          <w:lang w:val="en-US"/>
        </w:rPr>
        <w:t xml:space="preserve">5. </w:t>
      </w:r>
      <w:r w:rsidRPr="007F3AE1">
        <w:rPr>
          <w:lang w:val="en-US"/>
        </w:rPr>
        <w:t>Security professionals should refuse or constrain authorized activities when the potential for harm to individuals, legal compliance, or organizational reputation outweighs the anticipated benefits of the exercise. Even with executive and legal approval, ethical obligations require practitioners to consider the proportionality, necessity, and fairness of their actions. For instance, if AI-driven phishing could cause severe psychological distress, target vulnerable employees, or expose sensitive personal data without adequate safeguards, proceeding without adjustment would violate professional responsibility.</w:t>
      </w:r>
      <w:r>
        <w:rPr>
          <w:lang w:val="en-US"/>
        </w:rPr>
        <w:br/>
      </w:r>
      <w:r w:rsidR="00985D02">
        <w:rPr>
          <w:lang w:val="en-US"/>
        </w:rPr>
        <w:t xml:space="preserve"> </w:t>
      </w:r>
      <w:r w:rsidRPr="007F3AE1">
        <w:rPr>
          <w:lang w:val="en-US"/>
        </w:rPr>
        <w:t>Other conditions include scenarios where activities could contravene privacy laws, labor regulations, or cross-jurisdictional rules, or where the scope of deception is excessive relative to the learning or defensive objectives. Professionals must also consider whether mitigation measures such as communication plans, employee support, or post-exercise debriefing are insufficient to protect participants. In such cases, ethical constraints require either scaling back the simulation, restricting targeting to lower-risk groups, or implementing alternative testing methods that achieve similar objectives without undue risk. Upholding these principles preserves trust, accountability, and professional integrity while still supporting organizational security goals.</w:t>
      </w:r>
    </w:p>
    <w:p w14:paraId="7CE70414" w14:textId="3380020C" w:rsidR="007F3AE1" w:rsidRDefault="007F3AE1">
      <w:pPr>
        <w:rPr>
          <w:lang w:val="en-US"/>
        </w:rPr>
      </w:pPr>
    </w:p>
    <w:p w14:paraId="6E7D9422" w14:textId="77777777" w:rsidR="00985D02" w:rsidRDefault="00985D02">
      <w:pPr>
        <w:rPr>
          <w:lang w:val="en-US"/>
        </w:rPr>
      </w:pPr>
    </w:p>
    <w:p w14:paraId="01C0752B" w14:textId="77777777" w:rsidR="00985D02" w:rsidRDefault="00985D02">
      <w:pPr>
        <w:rPr>
          <w:lang w:val="en-US"/>
        </w:rPr>
      </w:pPr>
    </w:p>
    <w:p w14:paraId="52DD9CBE" w14:textId="3562F13F" w:rsidR="00985D02" w:rsidRPr="00985D02" w:rsidRDefault="00985D02" w:rsidP="00985D02">
      <w:pPr>
        <w:rPr>
          <w:u w:val="single"/>
          <w:lang w:val="en-US"/>
        </w:rPr>
      </w:pPr>
      <w:r w:rsidRPr="00985D02">
        <w:rPr>
          <w:b/>
          <w:bCs/>
          <w:u w:val="single"/>
          <w:lang w:val="en-US"/>
        </w:rPr>
        <w:t>Intermittent Certificate Warnings and Selective Wireless Attacks</w:t>
      </w:r>
    </w:p>
    <w:p w14:paraId="1AD2F80C" w14:textId="15CB5AB1" w:rsidR="00985D02" w:rsidRPr="00985D02" w:rsidRDefault="00985D02" w:rsidP="00985D02">
      <w:pPr>
        <w:rPr>
          <w:lang w:val="en-US"/>
        </w:rPr>
      </w:pPr>
    </w:p>
    <w:p w14:paraId="736F5B76" w14:textId="611D7B88" w:rsidR="00985D02" w:rsidRPr="00985D02" w:rsidRDefault="00985D02" w:rsidP="00985D02">
      <w:pPr>
        <w:rPr>
          <w:lang w:val="en-US"/>
        </w:rPr>
      </w:pPr>
      <w:r>
        <w:rPr>
          <w:lang w:val="en-US"/>
        </w:rPr>
        <w:t xml:space="preserve">1. </w:t>
      </w:r>
      <w:r w:rsidRPr="00985D02">
        <w:rPr>
          <w:lang w:val="en-US"/>
        </w:rPr>
        <w:t>Attacker selectivity complicates detection, attribution, and incident-response prioritization by introducing inconsistency into observable indicators. In this scenario, only a small subset of users receives certificate validation warnings, and the events are sporadic, making patterns difficult to identify. From a detection perspective, intermittent and targeted attacks can evade automated monitoring, as standard thresholds and alerting mechanisms are typically tuned for consistent or widespread anomalies. Sporadic activity can appear similar to benign user errors, misconfigurations, or environmental factors, which further obscures the attacker’s presence.</w:t>
      </w:r>
      <w:r>
        <w:rPr>
          <w:lang w:val="en-US"/>
        </w:rPr>
        <w:br/>
      </w:r>
      <w:r w:rsidRPr="00985D02">
        <w:rPr>
          <w:lang w:val="en-US"/>
        </w:rPr>
        <w:t>From an attribution standpoint, selective targeting reduces the quantity of observable data, limiting the ability to correlate events across the network or identify common tactics, techniques, and procedures. Without sufficient evidence, analysts face uncertainty about whether the activity is intentional, malicious, or accidental, making confident attribution difficult.</w:t>
      </w:r>
      <w:r>
        <w:rPr>
          <w:lang w:val="en-US"/>
        </w:rPr>
        <w:br/>
      </w:r>
      <w:r w:rsidRPr="00985D02">
        <w:rPr>
          <w:lang w:val="en-US"/>
        </w:rPr>
        <w:t>Incident-response prioritization is affected because resources must be allocated under uncertainty. Security teams must balance the risk of acting aggressively, potentially disrupting legitimate operations, against the danger of delaying response to a real but selective attack. In practice, this requires a probabilistic approach that considers the potential impact of the suspected attack, the confidence in the observed indicators, and the operational cost of investigative or defensive measures.</w:t>
      </w:r>
    </w:p>
    <w:p w14:paraId="0B27F170" w14:textId="77777777" w:rsidR="00985D02" w:rsidRDefault="00985D02">
      <w:pPr>
        <w:rPr>
          <w:lang w:val="en-US"/>
        </w:rPr>
      </w:pPr>
    </w:p>
    <w:p w14:paraId="594ECBF7" w14:textId="279F6E50" w:rsidR="00985D02" w:rsidRPr="00985D02" w:rsidRDefault="00985D02" w:rsidP="00985D02">
      <w:pPr>
        <w:rPr>
          <w:lang w:val="en-US"/>
        </w:rPr>
      </w:pPr>
      <w:r>
        <w:rPr>
          <w:lang w:val="en-US"/>
        </w:rPr>
        <w:t xml:space="preserve">2. </w:t>
      </w:r>
      <w:r w:rsidRPr="00985D02">
        <w:rPr>
          <w:lang w:val="en-US"/>
        </w:rPr>
        <w:t xml:space="preserve">Traditional wireless monitoring architectures can be limited when facing intermittent and mobile attack models because they are generally optimized for detecting persistent threats within fixed coverage areas. Standard approaches rely on static access-point logging, continuous spectrum scanning, and centralized collection of authentication events. While effective for identifying consistently active rogue access points or widespread misconfigurations, these methods struggle to capture attacks that </w:t>
      </w:r>
      <w:r w:rsidRPr="00985D02">
        <w:rPr>
          <w:lang w:val="en-US"/>
        </w:rPr>
        <w:lastRenderedPageBreak/>
        <w:t>operate briefly, move between locations, or target small subsets of users.</w:t>
      </w:r>
      <w:r>
        <w:rPr>
          <w:lang w:val="en-US"/>
        </w:rPr>
        <w:br/>
      </w:r>
      <w:r w:rsidRPr="00985D02">
        <w:rPr>
          <w:lang w:val="en-US"/>
        </w:rPr>
        <w:t>Intermittent attacks may avoid detection simply by operating outside scheduled scans or appearing only during times when monitoring coverage is minimal. Mobile rogue devices can also evade static sensors by changing physical location or using low transmission power, leaving only brief traces in authentication logs that are easily mistaken for transient errors or network noise. As a result, analysts may fail to correlate events or recognize patterns, and alerts may be sparse or inconclusive.</w:t>
      </w:r>
      <w:r>
        <w:rPr>
          <w:lang w:val="en-US"/>
        </w:rPr>
        <w:br/>
      </w:r>
      <w:r w:rsidRPr="00985D02">
        <w:rPr>
          <w:lang w:val="en-US"/>
        </w:rPr>
        <w:t>To address these limitations, organizations often need enhanced architectures that include dense sensor deployment, continuous passive monitoring, anomaly-based detection that correlates sparse events across users, and dynamic coverage capable of capturing short-lived wireless activity. Traditional architectures are not fundamentally incapable, but without adaptation, they provide a false sense of security against sophisticated, selective wireless attacks.</w:t>
      </w:r>
    </w:p>
    <w:p w14:paraId="32A20DBA" w14:textId="3EF39E98" w:rsidR="00985D02" w:rsidRDefault="00985D02">
      <w:pPr>
        <w:rPr>
          <w:lang w:val="en-US"/>
        </w:rPr>
      </w:pPr>
    </w:p>
    <w:p w14:paraId="450589EF" w14:textId="79310876" w:rsidR="00985D02" w:rsidRPr="00985D02" w:rsidRDefault="00985D02" w:rsidP="00985D02">
      <w:pPr>
        <w:rPr>
          <w:lang w:val="en-US"/>
        </w:rPr>
      </w:pPr>
      <w:r>
        <w:rPr>
          <w:lang w:val="en-US"/>
        </w:rPr>
        <w:t xml:space="preserve">3. </w:t>
      </w:r>
      <w:r w:rsidRPr="00985D02">
        <w:rPr>
          <w:lang w:val="en-US"/>
        </w:rPr>
        <w:t>Traditional wireless monitoring architectures can be limited when facing intermittent and mobile attack models because they are generally optimized for detecting persistent threats within fixed coverage areas. Standard approaches rely on static access-point logging, continuous spectrum scanning, and centralized collection of authentication events. While effective for identifying consistently active rogue access points or widespread misconfigurations, these methods struggle to capture attacks that operate briefly, move between locations, or target small subsets of users.</w:t>
      </w:r>
      <w:r>
        <w:rPr>
          <w:lang w:val="en-US"/>
        </w:rPr>
        <w:br/>
      </w:r>
      <w:r w:rsidRPr="00985D02">
        <w:rPr>
          <w:lang w:val="en-US"/>
        </w:rPr>
        <w:t>Intermittent attacks may avoid detection simply by operating outside scheduled scans or appearing only during times when monitoring coverage is minimal. Mobile rogue devices can also evade static sensors by changing physical location or using low transmission power, leaving only brief traces in authentication logs that are easily mistaken for transient errors or network noise. As a result, analysts may fail to correlate events or recognize patterns, and alerts may be sparse or inconclusive.</w:t>
      </w:r>
      <w:r>
        <w:rPr>
          <w:lang w:val="en-US"/>
        </w:rPr>
        <w:br/>
      </w:r>
      <w:r w:rsidRPr="00985D02">
        <w:rPr>
          <w:lang w:val="en-US"/>
        </w:rPr>
        <w:t>To address these limitations, organizations often need enhanced architectures that include dense sensor deployment, continuous passive monitoring, anomaly-based detection that correlates sparse events across users, and dynamic coverage capable of capturing short-lived wireless activity. Traditional architectures are not fundamentally incapable, but without adaptation, they provide a false sense of security against sophisticated, selective wireless attacks.</w:t>
      </w:r>
    </w:p>
    <w:p w14:paraId="002C8758" w14:textId="008973F0" w:rsidR="00985D02" w:rsidRDefault="00985D02">
      <w:pPr>
        <w:rPr>
          <w:lang w:val="en-US"/>
        </w:rPr>
      </w:pPr>
    </w:p>
    <w:p w14:paraId="69DB9893" w14:textId="207F38DF" w:rsidR="00985D02" w:rsidRPr="00985D02" w:rsidRDefault="00985D02" w:rsidP="00985D02">
      <w:pPr>
        <w:rPr>
          <w:lang w:val="en-US"/>
        </w:rPr>
      </w:pPr>
      <w:r>
        <w:rPr>
          <w:lang w:val="en-US"/>
        </w:rPr>
        <w:t xml:space="preserve">4. </w:t>
      </w:r>
      <w:r w:rsidRPr="00985D02">
        <w:rPr>
          <w:lang w:val="en-US"/>
        </w:rPr>
        <w:t>Individual user trust decisions can significantly erode cryptographic assurances when they override the technical guarantees provided by secure protocols. In a WPA2-Enterprise network, certificate validation is a core mechanism for ensuring that clients connect to legitimate access points and that communications remain confidential. When users ignore or bypass warnings, they effectively bypass authentication safeguards, allowing potential man-in-the-middle attacks or rogue access points to intercept traffic.</w:t>
      </w:r>
      <w:r>
        <w:rPr>
          <w:lang w:val="en-US"/>
        </w:rPr>
        <w:br/>
      </w:r>
      <w:r w:rsidRPr="00985D02">
        <w:rPr>
          <w:lang w:val="en-US"/>
        </w:rPr>
        <w:t>At scale, even a small number of users accepting warnings can create systemic risk. Attackers can exploit these predictable behaviors, targeting users most likely to ignore alerts, which may allow lateral movement or data exfiltration without triggering automated defenses. The strength of cryptographic assurances depends not only on proper implementation but also on consistent adherence by end users. If human behavior undermines these mechanisms, the network’s overall security posture is weakened regardless of the underlying protocol’s mathematical robustness.</w:t>
      </w:r>
      <w:r>
        <w:rPr>
          <w:lang w:val="en-US"/>
        </w:rPr>
        <w:br/>
      </w:r>
      <w:r w:rsidRPr="00985D02">
        <w:rPr>
          <w:lang w:val="en-US"/>
        </w:rPr>
        <w:t>Mitigating this risk requires combining technical controls, such as certificate pinning or automated alert enforcement, with user education and awareness programs. By reducing reliance on discretionary user actions, organizations can preserve cryptographic integrity and prevent individual decisions from compromising security at the enterprise level.</w:t>
      </w:r>
    </w:p>
    <w:p w14:paraId="567C54F0" w14:textId="287928FA" w:rsidR="00985D02" w:rsidRDefault="00985D02">
      <w:pPr>
        <w:rPr>
          <w:lang w:val="en-US"/>
        </w:rPr>
      </w:pPr>
    </w:p>
    <w:p w14:paraId="064D24CA" w14:textId="6F709555" w:rsidR="00985D02" w:rsidRPr="00985D02" w:rsidRDefault="00985D02" w:rsidP="00985D02">
      <w:pPr>
        <w:rPr>
          <w:lang w:val="en-US"/>
        </w:rPr>
      </w:pPr>
      <w:r>
        <w:rPr>
          <w:lang w:val="en-US"/>
        </w:rPr>
        <w:lastRenderedPageBreak/>
        <w:t xml:space="preserve">5. </w:t>
      </w:r>
      <w:r w:rsidRPr="00985D02">
        <w:rPr>
          <w:lang w:val="en-US"/>
        </w:rPr>
        <w:t>Enterprise wireless security models often do not treat human behavior as a core component of the attack surface, even though user actions frequently determine whether security controls are effective. Traditional models focus on technical safeguards such as encryption protocols, authentication mechanisms, access control lists, and intrusion detection. While these measures are essential, they assume that users consistently follow best practices, such as verifying certificates, avoiding untrusted networks, and reporting anomalies.</w:t>
      </w:r>
      <w:r>
        <w:rPr>
          <w:lang w:val="en-US"/>
        </w:rPr>
        <w:br/>
      </w:r>
      <w:r w:rsidRPr="00985D02">
        <w:rPr>
          <w:lang w:val="en-US"/>
        </w:rPr>
        <w:t>In practice, human behavior introduces variability and unpredictability. Users may ignore warnings, reuse credentials, or make configuration errors, creating exploitable gaps that attackers can leverage. Sporadic acceptance of certificate warnings, as in this scenario, illustrates how user decisions can transform otherwise secure protocols into attack vectors. Security models that fail to integrate behavioral risk underestimate the attack surface and may overstate the resilience of technical controls.</w:t>
      </w:r>
      <w:r>
        <w:rPr>
          <w:lang w:val="en-US"/>
        </w:rPr>
        <w:br/>
      </w:r>
      <w:r w:rsidRPr="00985D02">
        <w:rPr>
          <w:lang w:val="en-US"/>
        </w:rPr>
        <w:t>Addressing this gap requires a holistic approach that combines technical defenses with user-focused strategies. This includes continuous awareness training, reinforcement of secure behaviors, usability-aligned security design, and monitoring mechanisms that detect deviations caused by user actions. By explicitly treating human behavior as an integral part of the attack surface, enterprises can better align wireless security models with real-world threat dynamics.</w:t>
      </w:r>
    </w:p>
    <w:p w14:paraId="0E35CC91" w14:textId="78C4C0B4" w:rsidR="00985D02" w:rsidRPr="00DD54FD" w:rsidRDefault="00985D02">
      <w:pPr>
        <w:rPr>
          <w:lang w:val="en-US"/>
        </w:rPr>
      </w:pPr>
    </w:p>
    <w:sectPr w:rsidR="00985D02" w:rsidRPr="00DD54F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97E6D"/>
    <w:multiLevelType w:val="multilevel"/>
    <w:tmpl w:val="F0F4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07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6C"/>
    <w:rsid w:val="00152121"/>
    <w:rsid w:val="007F3AE1"/>
    <w:rsid w:val="00823483"/>
    <w:rsid w:val="00985D02"/>
    <w:rsid w:val="00BA086C"/>
    <w:rsid w:val="00D90FD9"/>
    <w:rsid w:val="00DD54FD"/>
    <w:rsid w:val="00F104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E7DA"/>
  <w15:chartTrackingRefBased/>
  <w15:docId w15:val="{402160B9-B326-4778-BFC9-7CF804F1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86C"/>
    <w:rPr>
      <w:rFonts w:eastAsiaTheme="majorEastAsia" w:cstheme="majorBidi"/>
      <w:color w:val="272727" w:themeColor="text1" w:themeTint="D8"/>
    </w:rPr>
  </w:style>
  <w:style w:type="paragraph" w:styleId="Title">
    <w:name w:val="Title"/>
    <w:basedOn w:val="Normal"/>
    <w:next w:val="Normal"/>
    <w:link w:val="TitleChar"/>
    <w:uiPriority w:val="10"/>
    <w:qFormat/>
    <w:rsid w:val="00BA0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86C"/>
    <w:pPr>
      <w:spacing w:before="160"/>
      <w:jc w:val="center"/>
    </w:pPr>
    <w:rPr>
      <w:i/>
      <w:iCs/>
      <w:color w:val="404040" w:themeColor="text1" w:themeTint="BF"/>
    </w:rPr>
  </w:style>
  <w:style w:type="character" w:customStyle="1" w:styleId="QuoteChar">
    <w:name w:val="Quote Char"/>
    <w:basedOn w:val="DefaultParagraphFont"/>
    <w:link w:val="Quote"/>
    <w:uiPriority w:val="29"/>
    <w:rsid w:val="00BA086C"/>
    <w:rPr>
      <w:i/>
      <w:iCs/>
      <w:color w:val="404040" w:themeColor="text1" w:themeTint="BF"/>
    </w:rPr>
  </w:style>
  <w:style w:type="paragraph" w:styleId="ListParagraph">
    <w:name w:val="List Paragraph"/>
    <w:basedOn w:val="Normal"/>
    <w:uiPriority w:val="34"/>
    <w:qFormat/>
    <w:rsid w:val="00BA086C"/>
    <w:pPr>
      <w:ind w:left="720"/>
      <w:contextualSpacing/>
    </w:pPr>
  </w:style>
  <w:style w:type="character" w:styleId="IntenseEmphasis">
    <w:name w:val="Intense Emphasis"/>
    <w:basedOn w:val="DefaultParagraphFont"/>
    <w:uiPriority w:val="21"/>
    <w:qFormat/>
    <w:rsid w:val="00BA086C"/>
    <w:rPr>
      <w:i/>
      <w:iCs/>
      <w:color w:val="2F5496" w:themeColor="accent1" w:themeShade="BF"/>
    </w:rPr>
  </w:style>
  <w:style w:type="paragraph" w:styleId="IntenseQuote">
    <w:name w:val="Intense Quote"/>
    <w:basedOn w:val="Normal"/>
    <w:next w:val="Normal"/>
    <w:link w:val="IntenseQuoteChar"/>
    <w:uiPriority w:val="30"/>
    <w:qFormat/>
    <w:rsid w:val="00BA0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86C"/>
    <w:rPr>
      <w:i/>
      <w:iCs/>
      <w:color w:val="2F5496" w:themeColor="accent1" w:themeShade="BF"/>
    </w:rPr>
  </w:style>
  <w:style w:type="character" w:styleId="IntenseReference">
    <w:name w:val="Intense Reference"/>
    <w:basedOn w:val="DefaultParagraphFont"/>
    <w:uiPriority w:val="32"/>
    <w:qFormat/>
    <w:rsid w:val="00BA086C"/>
    <w:rPr>
      <w:b/>
      <w:bCs/>
      <w:smallCaps/>
      <w:color w:val="2F5496" w:themeColor="accent1" w:themeShade="BF"/>
      <w:spacing w:val="5"/>
    </w:rPr>
  </w:style>
  <w:style w:type="paragraph" w:styleId="NormalWeb">
    <w:name w:val="Normal (Web)"/>
    <w:basedOn w:val="Normal"/>
    <w:uiPriority w:val="99"/>
    <w:semiHidden/>
    <w:unhideWhenUsed/>
    <w:rsid w:val="001521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5444</Words>
  <Characters>31036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spe.asoiu@gmail.com</dc:creator>
  <cp:keywords/>
  <dc:description/>
  <cp:lastModifiedBy>spe.asoiu@gmail.com</cp:lastModifiedBy>
  <cp:revision>4</cp:revision>
  <dcterms:created xsi:type="dcterms:W3CDTF">2026-01-07T12:16:00Z</dcterms:created>
  <dcterms:modified xsi:type="dcterms:W3CDTF">2026-01-07T13:08:00Z</dcterms:modified>
</cp:coreProperties>
</file>