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Leave Policy</w:t>
      </w:r>
    </w:p>
    <w:p>
      <w:r>
        <w:t>All employees receive 20 days of paid annual leave per year.</w:t>
      </w:r>
    </w:p>
    <w:p>
      <w:r>
        <w:t>Leave requests must be submitted at least 7 days in advance.</w:t>
      </w:r>
    </w:p>
    <w:p>
      <w:r>
        <w:t>Unused leave can be carried forward for up to 5 days.</w:t>
      </w:r>
    </w:p>
    <w:p>
      <w:r>
        <w:t># HR ONLY</w:t>
      </w:r>
    </w:p>
    <w:p>
      <w:r>
        <w:t>Leave encashment above 10 days requires approval from the HR Director.</w:t>
      </w:r>
    </w:p>
    <w:p>
      <w:r>
        <w:t>Disciplinary leave is recorded in the employee's confidential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