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E761B">
      <w:pPr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人工智能技术应用专业毕业论文格式设置操作指导V1.0</w:t>
      </w:r>
    </w:p>
    <w:p w14:paraId="111600B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预备知识0：毕业论文格式、内容原则</w:t>
      </w:r>
    </w:p>
    <w:p w14:paraId="575EB1E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原则1：格式参看模板及其批注，模板与批注不一致时，优先参照模板。</w:t>
      </w:r>
    </w:p>
    <w:p w14:paraId="2040F5E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原则2：内容不参照模板，多人内容大面积复制模板将造成多人文稿重复，均为抄袭。</w:t>
      </w:r>
    </w:p>
    <w:p w14:paraId="400D537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原则3：相同范畴内容，格式严格保持一致，如所有一级标题使用相同的字体、字号、段落格式。</w:t>
      </w:r>
    </w:p>
    <w:p w14:paraId="2CFDD23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原则4：知网查重率低于30%</w:t>
      </w:r>
    </w:p>
    <w:p w14:paraId="4D5C497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原则5：正文只允许放置1-2页核心代码，全篇不可大面积复制代码。</w:t>
      </w:r>
    </w:p>
    <w:p w14:paraId="1EDA0010">
      <w:pPr>
        <w:rPr>
          <w:rFonts w:hint="default"/>
          <w:b w:val="0"/>
          <w:bCs w:val="0"/>
          <w:lang w:val="en-US" w:eastAsia="zh-CN"/>
        </w:rPr>
      </w:pPr>
    </w:p>
    <w:p w14:paraId="28A3A0E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预备知识1：什么是大标题、一级标题、二级标题、三级标题、三级标题以下标题、正文、表题、图题、页眉、页码、参考文献？</w:t>
      </w:r>
    </w:p>
    <w:p w14:paraId="26FC1D4D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大标题：</w:t>
      </w:r>
      <w:r>
        <w:rPr>
          <w:rFonts w:hint="eastAsia"/>
          <w:b w:val="0"/>
          <w:bCs w:val="0"/>
          <w:lang w:val="en-US" w:eastAsia="zh-CN"/>
        </w:rPr>
        <w:t>论文（项目）的题目</w:t>
      </w:r>
    </w:p>
    <w:p w14:paraId="2F0AF75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一级标题：</w:t>
      </w:r>
      <w:r>
        <w:rPr>
          <w:rFonts w:hint="eastAsia"/>
          <w:b w:val="0"/>
          <w:bCs w:val="0"/>
          <w:lang w:val="en-US" w:eastAsia="zh-CN"/>
        </w:rPr>
        <w:t>论文的大章节题目，通常情况下由阿拉伯数字和中英文组成，如“1 引言”，使用时标号必须连续。</w:t>
      </w:r>
    </w:p>
    <w:p w14:paraId="1D2D6F9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二级标题：</w:t>
      </w:r>
      <w:r>
        <w:rPr>
          <w:rFonts w:hint="eastAsia"/>
          <w:b w:val="0"/>
          <w:bCs w:val="0"/>
          <w:lang w:val="en-US" w:eastAsia="zh-CN"/>
        </w:rPr>
        <w:t>在某个一级标题之下，又细分了若干子标题，如“1.1 研究背景及意义”、“1.2 研究现状”，使用时标号必须连续。</w:t>
      </w:r>
    </w:p>
    <w:p w14:paraId="5FF502D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三级标题：</w:t>
      </w:r>
      <w:r>
        <w:rPr>
          <w:rFonts w:hint="eastAsia"/>
          <w:b w:val="0"/>
          <w:bCs w:val="0"/>
          <w:lang w:val="en-US" w:eastAsia="zh-CN"/>
        </w:rPr>
        <w:t>在某二级标题之下，又细分了若干子标题，如“1.1.1 研究背景介绍”、“1.1.2 研究意义分析”，使用时标号必须连续。</w:t>
      </w:r>
    </w:p>
    <w:p w14:paraId="1AAA0C0E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三级标题以下标题：</w:t>
      </w:r>
      <w:r>
        <w:rPr>
          <w:rFonts w:hint="eastAsia"/>
          <w:b w:val="0"/>
          <w:bCs w:val="0"/>
          <w:lang w:val="en-US" w:eastAsia="zh-CN"/>
        </w:rPr>
        <w:t>参考模板进行设置</w:t>
      </w:r>
    </w:p>
    <w:p w14:paraId="285E7F0F">
      <w:pPr>
        <w:jc w:val="center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943225" cy="10858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C92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正文：</w:t>
      </w:r>
      <w:r>
        <w:rPr>
          <w:rFonts w:hint="eastAsia"/>
          <w:b w:val="0"/>
          <w:bCs w:val="0"/>
          <w:lang w:val="en-US" w:eastAsia="zh-CN"/>
        </w:rPr>
        <w:t>各级标题之下的文段</w:t>
      </w:r>
    </w:p>
    <w:p w14:paraId="0967920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表题：</w:t>
      </w:r>
      <w:r>
        <w:rPr>
          <w:rFonts w:hint="eastAsia"/>
          <w:b w:val="0"/>
          <w:bCs w:val="0"/>
          <w:lang w:val="en-US" w:eastAsia="zh-CN"/>
        </w:rPr>
        <w:t>也叫表名，凡出现表必须有表题</w:t>
      </w:r>
    </w:p>
    <w:p w14:paraId="6526E7E9">
      <w:pPr>
        <w:jc w:val="center"/>
      </w:pPr>
      <w:r>
        <w:drawing>
          <wp:inline distT="0" distB="0" distL="114300" distR="114300">
            <wp:extent cx="3700145" cy="2612390"/>
            <wp:effectExtent l="0" t="0" r="1460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D2D10">
      <w:pPr>
        <w:jc w:val="center"/>
        <w:rPr>
          <w:rFonts w:hint="default"/>
          <w:lang w:val="en-US" w:eastAsia="zh-CN"/>
        </w:rPr>
      </w:pPr>
    </w:p>
    <w:p w14:paraId="2A9A019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图题：</w:t>
      </w:r>
      <w:r>
        <w:rPr>
          <w:rFonts w:hint="eastAsia"/>
          <w:b w:val="0"/>
          <w:bCs w:val="0"/>
          <w:lang w:val="en-US" w:eastAsia="zh-CN"/>
        </w:rPr>
        <w:t>也叫图名，凡出现图必须有图题。</w:t>
      </w:r>
    </w:p>
    <w:p w14:paraId="7CEA8DB1">
      <w:pPr>
        <w:jc w:val="center"/>
      </w:pPr>
      <w:r>
        <w:drawing>
          <wp:inline distT="0" distB="0" distL="114300" distR="114300">
            <wp:extent cx="3434715" cy="2007235"/>
            <wp:effectExtent l="0" t="0" r="1333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B7008"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页眉：</w:t>
      </w:r>
      <w:r>
        <w:rPr>
          <w:rFonts w:hint="eastAsia"/>
          <w:lang w:val="en-US" w:eastAsia="zh-CN"/>
        </w:rPr>
        <w:t>每页word页面正上方区域，一般内容为“xxxx学校毕业论文”</w:t>
      </w:r>
    </w:p>
    <w:p w14:paraId="5C243DAD">
      <w:pPr>
        <w:jc w:val="both"/>
      </w:pPr>
      <w:r>
        <w:drawing>
          <wp:inline distT="0" distB="0" distL="114300" distR="114300">
            <wp:extent cx="5271770" cy="4528820"/>
            <wp:effectExtent l="0" t="0" r="508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CEAE3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页码：</w:t>
      </w:r>
      <w:r>
        <w:rPr>
          <w:rFonts w:hint="eastAsia"/>
          <w:lang w:val="en-US" w:eastAsia="zh-CN"/>
        </w:rPr>
        <w:t>每页word页面正下方区域，用来标识当前页属于第几页</w:t>
      </w:r>
    </w:p>
    <w:p w14:paraId="3C5441B0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03295" cy="2623820"/>
            <wp:effectExtent l="0" t="0" r="190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AB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操作1：如何设置字体、字号？</w:t>
      </w:r>
    </w:p>
    <w:p w14:paraId="6B768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eastAsia"/>
          <w:highlight w:val="yellow"/>
          <w:lang w:val="en-US" w:eastAsia="zh-CN"/>
        </w:rPr>
        <w:t>鼠标选中</w:t>
      </w:r>
      <w:r>
        <w:rPr>
          <w:rFonts w:hint="eastAsia"/>
          <w:lang w:val="en-US" w:eastAsia="zh-CN"/>
        </w:rPr>
        <w:t>要修改的标题或段落</w:t>
      </w:r>
    </w:p>
    <w:p w14:paraId="68B471D5">
      <w:pPr>
        <w:jc w:val="center"/>
      </w:pPr>
      <w:r>
        <w:drawing>
          <wp:inline distT="0" distB="0" distL="114300" distR="114300">
            <wp:extent cx="3620135" cy="3140075"/>
            <wp:effectExtent l="0" t="0" r="184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47CC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②在</w:t>
      </w:r>
      <w:r>
        <w:rPr>
          <w:rFonts w:hint="eastAsia"/>
          <w:highlight w:val="yellow"/>
          <w:lang w:val="en-US" w:eastAsia="zh-CN"/>
        </w:rPr>
        <w:t>左上角</w:t>
      </w:r>
      <w:r>
        <w:rPr>
          <w:rFonts w:hint="eastAsia"/>
          <w:lang w:val="en-US" w:eastAsia="zh-CN"/>
        </w:rPr>
        <w:t>下拉选择</w:t>
      </w:r>
      <w:r>
        <w:rPr>
          <w:rFonts w:hint="eastAsia"/>
          <w:highlight w:val="yellow"/>
          <w:lang w:val="en-US" w:eastAsia="zh-CN"/>
        </w:rPr>
        <w:t>要求的字体、字号</w:t>
      </w:r>
    </w:p>
    <w:p w14:paraId="2C48CBF9">
      <w:pPr>
        <w:jc w:val="center"/>
      </w:pPr>
      <w:r>
        <w:drawing>
          <wp:inline distT="0" distB="0" distL="114300" distR="114300">
            <wp:extent cx="3629025" cy="3333115"/>
            <wp:effectExtent l="0" t="0" r="952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B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一般情况下：</w:t>
      </w:r>
    </w:p>
    <w:p w14:paraId="61750F67">
      <w:pPr>
        <w:rPr>
          <w:rFonts w:hint="eastAsia" w:ascii="宋体" w:hAnsi="宋体"/>
          <w:lang w:eastAsia="zh-CN"/>
        </w:rPr>
      </w:pPr>
      <w:r>
        <w:rPr>
          <w:rFonts w:hint="eastAsia"/>
          <w:lang w:val="en-US" w:eastAsia="zh-CN"/>
        </w:rPr>
        <w:t>一级标题</w:t>
      </w:r>
      <w:r>
        <w:rPr>
          <w:rFonts w:ascii="宋体" w:hAnsi="宋体"/>
          <w:highlight w:val="yellow"/>
        </w:rPr>
        <w:t>小二号黑体字</w:t>
      </w:r>
      <w:r>
        <w:rPr>
          <w:rFonts w:hint="eastAsia" w:ascii="宋体" w:hAnsi="宋体"/>
          <w:highlight w:val="yellow"/>
          <w:lang w:eastAsia="zh-CN"/>
        </w:rPr>
        <w:t>（</w:t>
      </w:r>
      <w:r>
        <w:rPr>
          <w:rFonts w:hint="eastAsia" w:ascii="宋体" w:hAnsi="宋体"/>
          <w:highlight w:val="yellow"/>
          <w:lang w:val="en-US" w:eastAsia="zh-CN"/>
        </w:rPr>
        <w:t>英文小二</w:t>
      </w:r>
      <w:r>
        <w:rPr>
          <w:rFonts w:hint="eastAsia"/>
          <w:highlight w:val="yellow"/>
          <w:lang w:val="en-US" w:eastAsia="zh-CN"/>
        </w:rPr>
        <w:t>Times New Roman</w:t>
      </w:r>
      <w:r>
        <w:rPr>
          <w:rFonts w:hint="eastAsia" w:ascii="宋体" w:hAnsi="宋体"/>
          <w:highlight w:val="yellow"/>
          <w:lang w:eastAsia="zh-CN"/>
        </w:rPr>
        <w:t>）</w:t>
      </w:r>
      <w:r>
        <w:rPr>
          <w:rFonts w:hint="eastAsia" w:ascii="宋体" w:hAnsi="宋体"/>
          <w:lang w:eastAsia="zh-CN"/>
        </w:rPr>
        <w:t>；</w:t>
      </w:r>
    </w:p>
    <w:p w14:paraId="29342EEE">
      <w:pPr>
        <w:rPr>
          <w:rFonts w:hint="eastAsia"/>
          <w:highlight w:val="yellow"/>
          <w:lang w:eastAsia="zh-CN"/>
        </w:rPr>
      </w:pPr>
      <w:r>
        <w:rPr>
          <w:rFonts w:hint="eastAsia" w:ascii="黑体"/>
          <w:spacing w:val="13"/>
        </w:rPr>
        <w:t>二级标题</w:t>
      </w:r>
      <w:r>
        <w:rPr>
          <w:highlight w:val="yellow"/>
        </w:rPr>
        <w:t>小三号黑体</w:t>
      </w:r>
      <w:r>
        <w:rPr>
          <w:rFonts w:hint="eastAsia"/>
          <w:highlight w:val="yellow"/>
          <w:lang w:val="en-US" w:eastAsia="zh-CN"/>
        </w:rPr>
        <w:t>(</w:t>
      </w:r>
      <w:r>
        <w:rPr>
          <w:rFonts w:hint="eastAsia" w:ascii="宋体" w:hAnsi="宋体"/>
          <w:highlight w:val="yellow"/>
          <w:lang w:val="en-US" w:eastAsia="zh-CN"/>
        </w:rPr>
        <w:t>英文小三</w:t>
      </w:r>
      <w:r>
        <w:rPr>
          <w:rFonts w:hint="eastAsia"/>
          <w:highlight w:val="yellow"/>
          <w:lang w:val="en-US" w:eastAsia="zh-CN"/>
        </w:rPr>
        <w:t>Times New Roman)</w:t>
      </w:r>
      <w:r>
        <w:rPr>
          <w:rFonts w:hint="eastAsia"/>
          <w:highlight w:val="yellow"/>
          <w:lang w:eastAsia="zh-CN"/>
        </w:rPr>
        <w:t>；</w:t>
      </w:r>
    </w:p>
    <w:p w14:paraId="2DB0C7CC">
      <w:pPr>
        <w:rPr>
          <w:rFonts w:hint="eastAsia"/>
          <w:lang w:eastAsia="zh-CN"/>
        </w:rPr>
      </w:pPr>
      <w:r>
        <w:rPr>
          <w:rFonts w:hint="eastAsia"/>
          <w:highlight w:val="none"/>
          <w:lang w:val="en-US" w:eastAsia="zh-CN"/>
        </w:rPr>
        <w:t>三级标题</w:t>
      </w:r>
      <w:r>
        <w:rPr>
          <w:rFonts w:hint="eastAsia"/>
          <w:highlight w:val="yellow"/>
          <w:lang w:val="en-US" w:eastAsia="zh-CN"/>
        </w:rPr>
        <w:t>四号黑体（</w:t>
      </w:r>
      <w:r>
        <w:rPr>
          <w:rFonts w:hint="eastAsia" w:ascii="宋体" w:hAnsi="宋体"/>
          <w:highlight w:val="yellow"/>
          <w:lang w:val="en-US" w:eastAsia="zh-CN"/>
        </w:rPr>
        <w:t>英文四号</w:t>
      </w:r>
      <w:r>
        <w:rPr>
          <w:rFonts w:hint="eastAsia"/>
          <w:highlight w:val="yellow"/>
          <w:lang w:val="en-US" w:eastAsia="zh-CN"/>
        </w:rPr>
        <w:t>Times New Roman</w:t>
      </w:r>
      <w:r>
        <w:rPr>
          <w:rFonts w:hint="eastAsia"/>
          <w:highlight w:val="none"/>
          <w:lang w:val="en-US" w:eastAsia="zh-CN"/>
        </w:rPr>
        <w:t>）</w:t>
      </w:r>
      <w:r>
        <w:rPr>
          <w:rFonts w:hint="eastAsia"/>
          <w:lang w:eastAsia="zh-CN"/>
        </w:rPr>
        <w:t>；</w:t>
      </w:r>
    </w:p>
    <w:p w14:paraId="1A751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  <w:r>
        <w:rPr>
          <w:rFonts w:hint="eastAsia"/>
          <w:highlight w:val="yellow"/>
          <w:lang w:val="en-US" w:eastAsia="zh-CN"/>
        </w:rPr>
        <w:t>小四宋体（英文及数字小四Times New Roman）</w:t>
      </w:r>
      <w:r>
        <w:rPr>
          <w:rFonts w:hint="eastAsia"/>
          <w:lang w:val="en-US" w:eastAsia="zh-CN"/>
        </w:rPr>
        <w:t>；</w:t>
      </w:r>
    </w:p>
    <w:p w14:paraId="682E4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表题及表中内容</w:t>
      </w:r>
      <w:r>
        <w:rPr>
          <w:rFonts w:hint="eastAsia"/>
          <w:highlight w:val="yellow"/>
          <w:lang w:val="en-US" w:eastAsia="zh-CN"/>
        </w:rPr>
        <w:t>五号宋体（英文及数字数字五号Times New Roman）</w:t>
      </w:r>
      <w:r>
        <w:rPr>
          <w:rFonts w:hint="eastAsia"/>
          <w:lang w:val="en-US" w:eastAsia="zh-CN"/>
        </w:rPr>
        <w:t>；</w:t>
      </w:r>
    </w:p>
    <w:p w14:paraId="252BAFB2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图题</w:t>
      </w:r>
      <w:r>
        <w:rPr>
          <w:rFonts w:hint="eastAsia"/>
          <w:highlight w:val="yellow"/>
          <w:lang w:val="en-US" w:eastAsia="zh-CN"/>
        </w:rPr>
        <w:t>五号宋体（英文及数字数字五号Times New Roman）</w:t>
      </w:r>
    </w:p>
    <w:p w14:paraId="1D173C3C">
      <w:pPr>
        <w:rPr>
          <w:rFonts w:hint="eastAsia"/>
          <w:highlight w:val="yellow"/>
          <w:lang w:val="en-US" w:eastAsia="zh-CN"/>
        </w:rPr>
      </w:pPr>
    </w:p>
    <w:p w14:paraId="7B287391">
      <w:pPr>
        <w:rPr>
          <w:rFonts w:hint="eastAsia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操作1练习：</w:t>
      </w:r>
      <w:r>
        <w:rPr>
          <w:rFonts w:hint="eastAsia"/>
          <w:highlight w:val="none"/>
          <w:lang w:val="en-US" w:eastAsia="zh-CN"/>
        </w:rPr>
        <w:t>将以下一级标题、二级标题、三级标题、</w:t>
      </w:r>
      <w:r>
        <w:rPr>
          <w:rFonts w:hint="eastAsia"/>
          <w:lang w:val="en-US" w:eastAsia="zh-CN"/>
        </w:rPr>
        <w:t>表题及表中内容、图题按字体字号要求进行设置</w:t>
      </w:r>
    </w:p>
    <w:p w14:paraId="30B3D827">
      <w:pPr>
        <w:rPr>
          <w:rFonts w:hint="eastAsia"/>
          <w:lang w:val="en-US" w:eastAsia="zh-CN"/>
        </w:rPr>
      </w:pPr>
    </w:p>
    <w:p w14:paraId="50E7F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引言</w:t>
      </w:r>
    </w:p>
    <w:p w14:paraId="71C581D0">
      <w:pPr>
        <w:numPr>
          <w:ilvl w:val="1"/>
          <w:numId w:val="2"/>
        </w:numPr>
        <w:rPr>
          <w:rFonts w:hint="eastAsia"/>
        </w:rPr>
      </w:pPr>
      <w:bookmarkStart w:id="0" w:name="_Toc1718"/>
      <w:r>
        <w:rPr>
          <w:rFonts w:hint="eastAsia"/>
        </w:rPr>
        <w:t>课题的研究背景及意义</w:t>
      </w:r>
      <w:bookmarkEnd w:id="0"/>
    </w:p>
    <w:p w14:paraId="46E9E7D6">
      <w:pPr>
        <w:numPr>
          <w:ilvl w:val="2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研究背景AJAX</w:t>
      </w:r>
    </w:p>
    <w:p w14:paraId="1BD92B3A">
      <w:pPr>
        <w:jc w:val="center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表3.1  开发环境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760"/>
      </w:tblGrid>
      <w:tr w14:paraId="5C98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1800" w:type="dxa"/>
            <w:shd w:val="clear" w:color="auto" w:fill="E6E6E6"/>
            <w:noWrap w:val="0"/>
            <w:vAlign w:val="center"/>
          </w:tcPr>
          <w:p w14:paraId="3D2899D5">
            <w:pPr>
              <w:jc w:val="center"/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约束名称</w:t>
            </w:r>
          </w:p>
        </w:tc>
        <w:tc>
          <w:tcPr>
            <w:tcW w:w="5760" w:type="dxa"/>
            <w:shd w:val="clear" w:color="auto" w:fill="E6E6E6"/>
            <w:noWrap w:val="0"/>
            <w:vAlign w:val="center"/>
          </w:tcPr>
          <w:p w14:paraId="243FB013">
            <w:pPr>
              <w:jc w:val="center"/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约束要求</w:t>
            </w:r>
          </w:p>
        </w:tc>
      </w:tr>
      <w:tr w14:paraId="4E8FE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1800" w:type="dxa"/>
            <w:shd w:val="clear" w:color="auto" w:fill="FFFFFF"/>
            <w:noWrap w:val="0"/>
            <w:vAlign w:val="center"/>
          </w:tcPr>
          <w:p w14:paraId="06D3549B">
            <w:pPr>
              <w:pStyle w:val="8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cpu</w:t>
            </w:r>
          </w:p>
        </w:tc>
        <w:tc>
          <w:tcPr>
            <w:tcW w:w="5760" w:type="dxa"/>
            <w:noWrap w:val="0"/>
            <w:vAlign w:val="center"/>
          </w:tcPr>
          <w:p w14:paraId="63FB505D">
            <w:pPr>
              <w:widowControl/>
              <w:spacing w:before="100" w:beforeAutospacing="1" w:after="100" w:afterAutospacing="1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推荐可以采用 1.80千兆赫 (GHz),高端服务器专用4核</w:t>
            </w:r>
          </w:p>
        </w:tc>
      </w:tr>
      <w:tr w14:paraId="49847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1800" w:type="dxa"/>
            <w:shd w:val="clear" w:color="auto" w:fill="FFFFFF"/>
            <w:noWrap w:val="0"/>
            <w:vAlign w:val="center"/>
          </w:tcPr>
          <w:p w14:paraId="12B87957">
            <w:pPr>
              <w:ind w:left="0"/>
              <w:jc w:val="center"/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内存</w:t>
            </w:r>
          </w:p>
        </w:tc>
        <w:tc>
          <w:tcPr>
            <w:tcW w:w="5760" w:type="dxa"/>
            <w:noWrap w:val="0"/>
            <w:vAlign w:val="center"/>
          </w:tcPr>
          <w:p w14:paraId="787EE9AB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推荐16GB以上</w:t>
            </w:r>
          </w:p>
        </w:tc>
      </w:tr>
      <w:tr w14:paraId="219D1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  <w:jc w:val="center"/>
        </w:trPr>
        <w:tc>
          <w:tcPr>
            <w:tcW w:w="1800" w:type="dxa"/>
            <w:shd w:val="clear" w:color="auto" w:fill="FFFFFF"/>
            <w:noWrap w:val="0"/>
            <w:vAlign w:val="center"/>
          </w:tcPr>
          <w:p w14:paraId="638DCBE3">
            <w:pPr>
              <w:pStyle w:val="8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硬盘</w:t>
            </w:r>
          </w:p>
        </w:tc>
        <w:tc>
          <w:tcPr>
            <w:tcW w:w="5760" w:type="dxa"/>
            <w:noWrap w:val="0"/>
            <w:vAlign w:val="center"/>
          </w:tcPr>
          <w:p w14:paraId="3610E591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推荐200GB以上</w:t>
            </w:r>
          </w:p>
        </w:tc>
      </w:tr>
      <w:tr w14:paraId="5EE9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1800" w:type="dxa"/>
            <w:shd w:val="clear" w:color="auto" w:fill="FFFFFF"/>
            <w:noWrap w:val="0"/>
            <w:vAlign w:val="center"/>
          </w:tcPr>
          <w:p w14:paraId="37F3890A">
            <w:pPr>
              <w:pStyle w:val="8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开发环境</w:t>
            </w:r>
          </w:p>
        </w:tc>
        <w:tc>
          <w:tcPr>
            <w:tcW w:w="5760" w:type="dxa"/>
            <w:noWrap w:val="0"/>
            <w:vAlign w:val="center"/>
          </w:tcPr>
          <w:p w14:paraId="773A45AC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SQLyog - 64 bit (数据库)</w:t>
            </w:r>
          </w:p>
          <w:p w14:paraId="197A9F6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JetBrains PyCharm 2018（项目开发工具）</w:t>
            </w:r>
          </w:p>
        </w:tc>
      </w:tr>
      <w:tr w14:paraId="4469F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800" w:type="dxa"/>
            <w:tcBorders>
              <w:left w:val="single" w:color="auto" w:sz="4" w:space="0"/>
            </w:tcBorders>
            <w:shd w:val="clear" w:color="auto" w:fill="FFFFFF"/>
            <w:noWrap w:val="0"/>
            <w:vAlign w:val="center"/>
          </w:tcPr>
          <w:p w14:paraId="36014088">
            <w:pPr>
              <w:ind w:left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操作系统</w:t>
            </w:r>
          </w:p>
        </w:tc>
        <w:tc>
          <w:tcPr>
            <w:tcW w:w="576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3C8DCE1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Windows10</w:t>
            </w:r>
          </w:p>
        </w:tc>
      </w:tr>
      <w:tr w14:paraId="0E231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  <w:jc w:val="center"/>
        </w:trPr>
        <w:tc>
          <w:tcPr>
            <w:tcW w:w="1800" w:type="dxa"/>
            <w:tcBorders>
              <w:left w:val="single" w:color="auto" w:sz="4" w:space="0"/>
            </w:tcBorders>
            <w:shd w:val="clear" w:color="auto" w:fill="FFFFFF"/>
            <w:noWrap w:val="0"/>
            <w:vAlign w:val="center"/>
          </w:tcPr>
          <w:p w14:paraId="1FED7665">
            <w:pPr>
              <w:ind w:left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辅助工具</w:t>
            </w:r>
          </w:p>
        </w:tc>
        <w:tc>
          <w:tcPr>
            <w:tcW w:w="576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7ED9C9">
            <w:pP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</w:rPr>
              <w:t>Editplus</w:t>
            </w:r>
          </w:p>
          <w:p w14:paraId="767D7B23">
            <w:pP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</w:rPr>
              <w:t>SQLyog</w:t>
            </w:r>
          </w:p>
          <w:p w14:paraId="4B9255CE">
            <w:pP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</w:rPr>
              <w:t>Adobe Photoshop CC 2017（制作最终效果海报）</w:t>
            </w:r>
          </w:p>
          <w:p w14:paraId="0AE80D0A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</w:rPr>
              <w:t>各主流浏览器（360浏览器、Google Chrome、FireFox）</w:t>
            </w:r>
          </w:p>
        </w:tc>
      </w:tr>
    </w:tbl>
    <w:p w14:paraId="001156E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8B9A35E">
      <w:pPr>
        <w:spacing w:line="360" w:lineRule="auto"/>
        <w:ind w:left="0"/>
        <w:rPr>
          <w:rFonts w:hint="eastAsia" w:ascii="宋体" w:hAnsi="宋体" w:cs="Tahoma"/>
        </w:rPr>
      </w:pPr>
      <w:r>
        <w:rPr>
          <w:rFonts w:hint="eastAsia" w:ascii="宋体" w:hAnsi="宋体" w:cs="Tahoma"/>
        </w:rPr>
        <w:drawing>
          <wp:inline distT="0" distB="0" distL="114300" distR="114300">
            <wp:extent cx="5937250" cy="3015615"/>
            <wp:effectExtent l="0" t="0" r="6350" b="13335"/>
            <wp:docPr id="8" name="图片 2" descr="}L~BM02DWC@S[)A}QOOKV@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}L~BM02DWC@S[)A}QOOKV@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74A0">
      <w:pPr>
        <w:ind w:left="0"/>
        <w:jc w:val="center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图 4.1 项目界面布局</w:t>
      </w:r>
    </w:p>
    <w:p w14:paraId="1FCAE4C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43EC73D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操作2：如何设置对齐方式？</w:t>
      </w:r>
    </w:p>
    <w:p w14:paraId="380759E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</w:t>
      </w:r>
      <w:r>
        <w:rPr>
          <w:rFonts w:hint="eastAsia"/>
          <w:b w:val="0"/>
          <w:bCs w:val="0"/>
          <w:highlight w:val="yellow"/>
          <w:lang w:val="en-US" w:eastAsia="zh-CN"/>
        </w:rPr>
        <w:t>鼠标选中</w:t>
      </w:r>
      <w:r>
        <w:rPr>
          <w:rFonts w:hint="eastAsia"/>
          <w:b w:val="0"/>
          <w:bCs w:val="0"/>
          <w:lang w:val="en-US" w:eastAsia="zh-CN"/>
        </w:rPr>
        <w:t>要修改对齐方式的标题、文段</w:t>
      </w:r>
    </w:p>
    <w:p w14:paraId="157E4F4E">
      <w:r>
        <w:drawing>
          <wp:inline distT="0" distB="0" distL="114300" distR="114300">
            <wp:extent cx="5269230" cy="3006090"/>
            <wp:effectExtent l="0" t="0" r="7620" b="381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E52F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②在word软件上方功能操作区选择</w:t>
      </w:r>
      <w:r>
        <w:rPr>
          <w:rFonts w:hint="eastAsia"/>
          <w:highlight w:val="yellow"/>
          <w:lang w:val="en-US" w:eastAsia="zh-CN"/>
        </w:rPr>
        <w:t>要求的对齐方式（从左到右分别是左对齐、居中对齐、右对齐、两端对齐）</w:t>
      </w:r>
    </w:p>
    <w:p w14:paraId="1D603816">
      <w:pPr>
        <w:numPr>
          <w:numId w:val="0"/>
        </w:numPr>
        <w:ind w:leftChars="0"/>
      </w:pPr>
      <w:r>
        <w:drawing>
          <wp:inline distT="0" distB="0" distL="114300" distR="114300">
            <wp:extent cx="5269865" cy="3152140"/>
            <wp:effectExtent l="0" t="0" r="6985" b="1016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38D3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一般情况下：</w:t>
      </w:r>
    </w:p>
    <w:p w14:paraId="2F89E502">
      <w:pPr>
        <w:numPr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一级、二级、三级标题</w:t>
      </w:r>
      <w:r>
        <w:rPr>
          <w:rFonts w:hint="eastAsia"/>
          <w:highlight w:val="yellow"/>
          <w:lang w:val="en-US" w:eastAsia="zh-CN"/>
        </w:rPr>
        <w:t>左对齐</w:t>
      </w:r>
    </w:p>
    <w:p w14:paraId="65F84263">
      <w:pPr>
        <w:numPr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t>正文</w:t>
      </w:r>
      <w:r>
        <w:rPr>
          <w:rFonts w:hint="eastAsia"/>
          <w:highlight w:val="yellow"/>
          <w:lang w:val="en-US" w:eastAsia="zh-CN"/>
        </w:rPr>
        <w:t>两端对齐</w:t>
      </w:r>
    </w:p>
    <w:p w14:paraId="3213526E">
      <w:pPr>
        <w:numPr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t>表题、图题</w:t>
      </w:r>
      <w:r>
        <w:rPr>
          <w:rFonts w:hint="eastAsia"/>
          <w:highlight w:val="yellow"/>
          <w:lang w:val="en-US" w:eastAsia="zh-CN"/>
        </w:rPr>
        <w:t>居中对齐</w:t>
      </w:r>
    </w:p>
    <w:p w14:paraId="276CC3E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操作2练习：</w:t>
      </w:r>
      <w:r>
        <w:rPr>
          <w:rFonts w:hint="eastAsia"/>
          <w:b w:val="0"/>
          <w:bCs w:val="0"/>
          <w:highlight w:val="none"/>
          <w:lang w:val="en-US" w:eastAsia="zh-CN"/>
        </w:rPr>
        <w:t>将以下</w:t>
      </w:r>
      <w:r>
        <w:rPr>
          <w:rFonts w:hint="eastAsia"/>
          <w:lang w:val="en-US" w:eastAsia="zh-CN"/>
        </w:rPr>
        <w:t>一级、二级、三级标题、正文、表题、图题按照要求修改对齐方式</w:t>
      </w:r>
    </w:p>
    <w:p w14:paraId="21EC6015">
      <w:pPr>
        <w:pStyle w:val="2"/>
        <w:pageBreakBefore/>
        <w:jc w:val="center"/>
        <w:rPr>
          <w:rFonts w:hint="eastAsia"/>
        </w:rPr>
      </w:pPr>
      <w:bookmarkStart w:id="1" w:name="_Toc509032672"/>
      <w:bookmarkStart w:id="2" w:name="_Toc509104331"/>
      <w:bookmarkStart w:id="3" w:name="_Toc12158"/>
      <w:bookmarkStart w:id="4" w:name="_Toc509104557"/>
      <w:r>
        <w:rPr>
          <w:rFonts w:hint="eastAsia"/>
        </w:rPr>
        <w:t>开发环境以及工具和技术的介绍</w:t>
      </w:r>
      <w:bookmarkEnd w:id="1"/>
      <w:bookmarkEnd w:id="2"/>
      <w:bookmarkEnd w:id="3"/>
      <w:bookmarkEnd w:id="4"/>
    </w:p>
    <w:p w14:paraId="519CF7A0">
      <w:pPr>
        <w:pStyle w:val="3"/>
        <w:jc w:val="right"/>
        <w:rPr>
          <w:rFonts w:hint="eastAsia"/>
        </w:rPr>
      </w:pPr>
      <w:bookmarkStart w:id="5" w:name="_Toc509104558"/>
      <w:bookmarkStart w:id="6" w:name="_Toc509032673"/>
      <w:bookmarkStart w:id="7" w:name="_Toc509104332"/>
      <w:bookmarkStart w:id="8" w:name="_Toc6536"/>
      <w:r>
        <w:rPr>
          <w:rFonts w:hint="eastAsia"/>
        </w:rPr>
        <w:t>项目</w:t>
      </w:r>
      <w:bookmarkEnd w:id="5"/>
      <w:bookmarkEnd w:id="6"/>
      <w:bookmarkEnd w:id="7"/>
      <w:r>
        <w:rPr>
          <w:rFonts w:hint="eastAsia"/>
        </w:rPr>
        <w:t>开发环境</w:t>
      </w:r>
      <w:bookmarkEnd w:id="8"/>
    </w:p>
    <w:p w14:paraId="324622E7">
      <w:pPr>
        <w:pStyle w:val="4"/>
        <w:ind w:left="0"/>
        <w:jc w:val="right"/>
      </w:pPr>
      <w:bookmarkStart w:id="9" w:name="_Toc23441"/>
      <w:r>
        <w:rPr>
          <w:rFonts w:hint="eastAsia" w:ascii="Times New Roman" w:hAnsi="Times New Roman"/>
        </w:rPr>
        <w:t>PyCharm</w:t>
      </w:r>
      <w:bookmarkEnd w:id="9"/>
    </w:p>
    <w:p w14:paraId="32DCF8ED">
      <w:pPr>
        <w:spacing w:line="360" w:lineRule="auto"/>
        <w:ind w:left="0" w:firstLine="420" w:firstLineChars="200"/>
        <w:jc w:val="right"/>
        <w:rPr>
          <w:rFonts w:hint="eastAsia" w:ascii="宋体" w:hAnsi="宋体" w:cs="Tahoma"/>
        </w:rPr>
      </w:pPr>
      <w:r>
        <w:rPr>
          <w:rFonts w:hint="eastAsia" w:ascii="宋体" w:hAnsi="宋体" w:cs="Tahoma"/>
        </w:rPr>
        <w:t>PyCharm是由JetBrains打造的一款Python IDE，它的主要功能是编码协助，项目代码导航等，它是</w:t>
      </w:r>
      <w:r>
        <w:rPr>
          <w:rFonts w:ascii="宋体" w:hAnsi="宋体" w:cs="宋体"/>
        </w:rPr>
        <w:t>用于Python脚本语言的最流行的IDE</w:t>
      </w:r>
      <w:r>
        <w:rPr>
          <w:rFonts w:hint="eastAsia" w:ascii="宋体" w:hAnsi="宋体" w:cs="Tahoma"/>
        </w:rPr>
        <w:t>，主要面向专业开发人员和刚起步人员，PyCharm深入了解用户项目，而不仅仅是单个文件重构，为用户还提供了代码完成和实时错误检查、本地历史功能、高级调试器、支持Web编程和框架（如Django和Flask）。除此之外，PyCharm可以实现跨平台，在macos和windows下面都可以使用，使得PyCharm成为程序员们有力的工具。使用PyCharm，你可以访问命令行、链接数据库、创建虚拟环境和并在一个地方管理版本控制系统，通过避免频繁地切换窗口，从而节省了工作时间。可以说，PyCharm是程序员编程过程中不可缺少的软件之一。</w:t>
      </w:r>
    </w:p>
    <w:p w14:paraId="4780401F">
      <w:pPr>
        <w:ind w:left="0"/>
        <w:jc w:val="both"/>
        <w:rPr>
          <w:rFonts w:hint="eastAsia" w:ascii="宋体" w:hAnsi="宋体"/>
          <w:sz w:val="21"/>
          <w:szCs w:val="21"/>
        </w:rPr>
      </w:pPr>
    </w:p>
    <w:p w14:paraId="087FB241">
      <w:pPr>
        <w:ind w:left="0"/>
        <w:jc w:val="both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图 4.2 项目流程图</w:t>
      </w:r>
    </w:p>
    <w:p w14:paraId="396F5F72">
      <w:pPr>
        <w:jc w:val="right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表 5.1 数据库设计命名规范</w:t>
      </w:r>
    </w:p>
    <w:p w14:paraId="6B7F08DF">
      <w:pPr>
        <w:rPr>
          <w:rFonts w:hint="eastAsia" w:ascii="宋体" w:hAnsi="宋体" w:cs="Tahoma"/>
        </w:rPr>
      </w:pPr>
      <w:r>
        <w:rPr>
          <w:rFonts w:hint="eastAsia" w:ascii="宋体" w:hAnsi="宋体" w:cs="Tahoma"/>
        </w:rPr>
        <w:br w:type="page"/>
      </w:r>
    </w:p>
    <w:p w14:paraId="58DFBA42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操作3：段落（行间距、首行缩进等）如何设置？</w:t>
      </w:r>
    </w:p>
    <w:p w14:paraId="33688F0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eastAsia"/>
          <w:highlight w:val="yellow"/>
          <w:lang w:val="en-US" w:eastAsia="zh-CN"/>
        </w:rPr>
        <w:t>鼠标选中</w:t>
      </w:r>
      <w:r>
        <w:rPr>
          <w:rFonts w:hint="eastAsia"/>
          <w:lang w:val="en-US" w:eastAsia="zh-CN"/>
        </w:rPr>
        <w:t>要修改文段</w:t>
      </w:r>
    </w:p>
    <w:p w14:paraId="20AD7077">
      <w:pPr>
        <w:numPr>
          <w:numId w:val="0"/>
        </w:numPr>
        <w:ind w:leftChars="0"/>
      </w:pPr>
      <w:r>
        <w:drawing>
          <wp:inline distT="0" distB="0" distL="114300" distR="114300">
            <wp:extent cx="5267960" cy="2673350"/>
            <wp:effectExtent l="0" t="0" r="8890" b="1270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81CD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  <w:highlight w:val="yellow"/>
          <w:lang w:val="en-US" w:eastAsia="zh-CN"/>
        </w:rPr>
        <w:t>鼠标点击</w:t>
      </w:r>
      <w:r>
        <w:rPr>
          <w:rFonts w:hint="eastAsia"/>
          <w:lang w:val="en-US" w:eastAsia="zh-CN"/>
        </w:rPr>
        <w:t>word软件上方开始操作栏的</w:t>
      </w:r>
      <w:r>
        <w:rPr>
          <w:rFonts w:hint="eastAsia"/>
          <w:highlight w:val="yellow"/>
          <w:lang w:val="en-US" w:eastAsia="zh-CN"/>
        </w:rPr>
        <w:t>右下小箭头（或者选择文段后右键在菜单中点击段落，两种方式均可）</w:t>
      </w:r>
    </w:p>
    <w:p w14:paraId="05DFC81D">
      <w:pPr>
        <w:numPr>
          <w:numId w:val="0"/>
        </w:numPr>
        <w:ind w:leftChars="0"/>
      </w:pPr>
      <w:r>
        <w:drawing>
          <wp:inline distT="0" distB="0" distL="114300" distR="114300">
            <wp:extent cx="5273040" cy="2292985"/>
            <wp:effectExtent l="0" t="0" r="3810" b="1206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693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③在段落设置页面中进行相关数值设定（对齐操作也可在改页面中完成）</w:t>
      </w:r>
    </w:p>
    <w:p w14:paraId="6456B858">
      <w:pPr>
        <w:numPr>
          <w:numId w:val="0"/>
        </w:numPr>
        <w:ind w:leftChars="0"/>
      </w:pPr>
      <w:r>
        <w:drawing>
          <wp:inline distT="0" distB="0" distL="114300" distR="114300">
            <wp:extent cx="5265420" cy="3935095"/>
            <wp:effectExtent l="0" t="0" r="11430" b="825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27D1">
      <w:pPr>
        <w:numPr>
          <w:numId w:val="0"/>
        </w:numPr>
        <w:ind w:leftChars="0"/>
        <w:rPr>
          <w:rFonts w:hint="eastAsia"/>
          <w:highlight w:val="red"/>
          <w:lang w:val="en-US" w:eastAsia="zh-CN"/>
        </w:rPr>
      </w:pPr>
      <w:r>
        <w:rPr>
          <w:rFonts w:hint="eastAsia"/>
          <w:lang w:val="en-US" w:eastAsia="zh-CN"/>
        </w:rPr>
        <w:t>一般情况下，正文的文段要求</w:t>
      </w:r>
      <w:r>
        <w:rPr>
          <w:rFonts w:hint="eastAsia"/>
          <w:highlight w:val="yellow"/>
          <w:lang w:val="en-US" w:eastAsia="zh-CN"/>
        </w:rPr>
        <w:t>首行缩进2字符（禁止使用空格和Tab进行缩减操作）</w:t>
      </w:r>
    </w:p>
    <w:p w14:paraId="6A9C3692">
      <w:pPr>
        <w:numPr>
          <w:numId w:val="0"/>
        </w:numPr>
        <w:ind w:leftChars="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操作3练习：</w:t>
      </w:r>
      <w:r>
        <w:rPr>
          <w:rFonts w:hint="eastAsia"/>
          <w:b w:val="0"/>
          <w:bCs w:val="0"/>
          <w:highlight w:val="none"/>
          <w:lang w:val="en-US" w:eastAsia="zh-CN"/>
        </w:rPr>
        <w:t>将以下文段按照要求进行设置</w:t>
      </w:r>
    </w:p>
    <w:p w14:paraId="356BE134">
      <w:pPr>
        <w:spacing w:line="360" w:lineRule="auto"/>
        <w:rPr>
          <w:rFonts w:hint="eastAsia" w:ascii="宋体" w:hAnsi="宋体" w:cs="Tahoma"/>
        </w:rPr>
      </w:pPr>
    </w:p>
    <w:p w14:paraId="7C84A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cs="Tahoma"/>
        </w:rPr>
      </w:pPr>
      <w:r>
        <w:rPr>
          <w:rFonts w:hint="eastAsia" w:ascii="宋体" w:hAnsi="宋体" w:cs="Tahoma"/>
        </w:rPr>
        <w:t>在很多的信息管理系统的项目中，大型的数据库是需要合理且规范的数据库设计命名的，合理规范的数据库设计命名可以减少项目开发的难度，减少重复开发，也可以使开发者更好的理解和阅读数据库，在团队协作中这点是必不可少的。</w:t>
      </w:r>
    </w:p>
    <w:p w14:paraId="04ED77DB">
      <w:pPr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default"/>
          <w:b w:val="0"/>
          <w:bCs w:val="0"/>
          <w:highlight w:val="none"/>
          <w:lang w:val="en-US" w:eastAsia="zh-CN"/>
        </w:rPr>
        <w:br w:type="page"/>
      </w:r>
    </w:p>
    <w:p w14:paraId="245608C6">
      <w:pPr>
        <w:numPr>
          <w:numId w:val="0"/>
        </w:numPr>
        <w:ind w:left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操作4：表如何设置？</w:t>
      </w:r>
    </w:p>
    <w:p w14:paraId="60085F55">
      <w:pPr>
        <w:numPr>
          <w:numId w:val="0"/>
        </w:numPr>
        <w:ind w:leftChars="0"/>
        <w:rPr>
          <w:rFonts w:hint="default"/>
          <w:b w:val="0"/>
          <w:bCs w:val="0"/>
          <w:highlight w:val="green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①在word上面插入菜单中，按需插入表格</w:t>
      </w:r>
      <w:r>
        <w:rPr>
          <w:rFonts w:hint="eastAsia"/>
          <w:b w:val="0"/>
          <w:bCs w:val="0"/>
          <w:highlight w:val="yellow"/>
          <w:lang w:val="en-US" w:eastAsia="zh-CN"/>
        </w:rPr>
        <w:t>（禁止直接对excel截图作为表）</w:t>
      </w:r>
    </w:p>
    <w:p w14:paraId="52AB0062">
      <w:pPr>
        <w:numPr>
          <w:numId w:val="0"/>
        </w:numPr>
        <w:ind w:leftChars="0"/>
        <w:jc w:val="center"/>
        <w:rPr>
          <w:rFonts w:hint="default"/>
          <w:b/>
          <w:bCs/>
          <w:highlight w:val="none"/>
          <w:lang w:val="en-US" w:eastAsia="zh-CN"/>
        </w:rPr>
      </w:pPr>
      <w:r>
        <w:drawing>
          <wp:inline distT="0" distB="0" distL="114300" distR="114300">
            <wp:extent cx="2774315" cy="2867660"/>
            <wp:effectExtent l="0" t="0" r="6985" b="889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FAB68">
      <w:pPr>
        <w:numPr>
          <w:numId w:val="0"/>
        </w:numPr>
        <w:ind w:leftChars="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②设置表题（如“</w:t>
      </w:r>
      <w:r>
        <w:rPr>
          <w:rFonts w:hint="eastAsia"/>
          <w:sz w:val="21"/>
          <w:szCs w:val="21"/>
        </w:rPr>
        <w:t>表3.1 开发环境</w:t>
      </w:r>
      <w:r>
        <w:rPr>
          <w:rFonts w:hint="eastAsia"/>
          <w:sz w:val="21"/>
          <w:szCs w:val="21"/>
          <w:lang w:val="en-US" w:eastAsia="zh-CN"/>
        </w:rPr>
        <w:t>表</w:t>
      </w:r>
      <w:r>
        <w:rPr>
          <w:rFonts w:hint="eastAsia"/>
          <w:sz w:val="21"/>
          <w:szCs w:val="21"/>
          <w:lang w:eastAsia="zh-CN"/>
        </w:rPr>
        <w:t>”</w:t>
      </w:r>
      <w:r>
        <w:rPr>
          <w:rFonts w:hint="eastAsia"/>
          <w:sz w:val="21"/>
          <w:szCs w:val="21"/>
          <w:lang w:val="en-US" w:eastAsia="zh-CN"/>
        </w:rPr>
        <w:t>表示</w:t>
      </w:r>
      <w:r>
        <w:rPr>
          <w:rFonts w:hint="eastAsia"/>
          <w:sz w:val="21"/>
          <w:szCs w:val="21"/>
          <w:highlight w:val="yellow"/>
          <w:lang w:val="en-US" w:eastAsia="zh-CN"/>
        </w:rPr>
        <w:t>第3章</w:t>
      </w:r>
      <w:r>
        <w:rPr>
          <w:rFonts w:hint="eastAsia"/>
          <w:sz w:val="21"/>
          <w:szCs w:val="21"/>
          <w:lang w:val="en-US" w:eastAsia="zh-CN"/>
        </w:rPr>
        <w:t>的</w:t>
      </w:r>
      <w:r>
        <w:rPr>
          <w:rFonts w:hint="eastAsia"/>
          <w:sz w:val="21"/>
          <w:szCs w:val="21"/>
          <w:highlight w:val="yellow"/>
          <w:lang w:val="en-US" w:eastAsia="zh-CN"/>
        </w:rPr>
        <w:t>第1张</w:t>
      </w:r>
      <w:r>
        <w:rPr>
          <w:rFonts w:hint="eastAsia"/>
          <w:sz w:val="21"/>
          <w:szCs w:val="21"/>
          <w:lang w:val="en-US" w:eastAsia="zh-CN"/>
        </w:rPr>
        <w:t>表，同一章节下务必连续编号如表3.1 xxx，表3.2 xxxx，表4.1 xxx，表4.2 xxx，...</w:t>
      </w:r>
      <w:r>
        <w:rPr>
          <w:rFonts w:hint="eastAsia"/>
          <w:b w:val="0"/>
          <w:bCs w:val="0"/>
          <w:highlight w:val="none"/>
          <w:lang w:val="en-US" w:eastAsia="zh-CN"/>
        </w:rPr>
        <w:t>）</w:t>
      </w:r>
    </w:p>
    <w:p w14:paraId="4762E356">
      <w:pPr>
        <w:numPr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一般情况下，表题出现在表格的</w:t>
      </w:r>
      <w:r>
        <w:rPr>
          <w:rFonts w:hint="eastAsia"/>
          <w:b w:val="0"/>
          <w:bCs w:val="0"/>
          <w:highlight w:val="yellow"/>
          <w:lang w:val="en-US" w:eastAsia="zh-CN"/>
        </w:rPr>
        <w:t>正上方</w:t>
      </w:r>
      <w:r>
        <w:rPr>
          <w:rFonts w:hint="eastAsia"/>
          <w:b w:val="0"/>
          <w:bCs w:val="0"/>
          <w:highlight w:val="none"/>
          <w:lang w:val="en-US" w:eastAsia="zh-CN"/>
        </w:rPr>
        <w:t>，</w:t>
      </w:r>
      <w:r>
        <w:rPr>
          <w:rFonts w:hint="eastAsia"/>
          <w:highlight w:val="yellow"/>
          <w:lang w:val="en-US" w:eastAsia="zh-CN"/>
        </w:rPr>
        <w:t>五号宋体（英文及数字数字五号Times New Roman）</w:t>
      </w:r>
      <w:r>
        <w:rPr>
          <w:rFonts w:hint="eastAsia"/>
          <w:highlight w:val="none"/>
          <w:lang w:val="en-US" w:eastAsia="zh-CN"/>
        </w:rPr>
        <w:t>，</w:t>
      </w:r>
      <w:r>
        <w:rPr>
          <w:rFonts w:hint="eastAsia"/>
          <w:highlight w:val="yellow"/>
          <w:lang w:val="en-US" w:eastAsia="zh-CN"/>
        </w:rPr>
        <w:t>居中</w:t>
      </w:r>
      <w:r>
        <w:rPr>
          <w:rFonts w:hint="eastAsia"/>
          <w:highlight w:val="none"/>
          <w:lang w:val="en-US" w:eastAsia="zh-CN"/>
        </w:rPr>
        <w:t>（字体字号设置参照</w:t>
      </w:r>
      <w:r>
        <w:rPr>
          <w:rFonts w:hint="eastAsia"/>
          <w:b/>
          <w:bCs/>
          <w:highlight w:val="none"/>
          <w:lang w:val="en-US" w:eastAsia="zh-CN"/>
        </w:rPr>
        <w:t>操作1</w:t>
      </w:r>
      <w:r>
        <w:rPr>
          <w:rFonts w:hint="eastAsia"/>
          <w:highlight w:val="none"/>
          <w:lang w:val="en-US" w:eastAsia="zh-CN"/>
        </w:rPr>
        <w:t>，对齐方式设置参照</w:t>
      </w:r>
      <w:r>
        <w:rPr>
          <w:rFonts w:hint="eastAsia"/>
          <w:b/>
          <w:bCs/>
          <w:highlight w:val="none"/>
          <w:lang w:val="en-US" w:eastAsia="zh-CN"/>
        </w:rPr>
        <w:t>操作2</w:t>
      </w:r>
      <w:r>
        <w:rPr>
          <w:rFonts w:hint="eastAsia"/>
          <w:highlight w:val="none"/>
          <w:lang w:val="en-US" w:eastAsia="zh-CN"/>
        </w:rPr>
        <w:t>）</w:t>
      </w:r>
    </w:p>
    <w:p w14:paraId="228D26E4">
      <w:pPr>
        <w:numPr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③设置表中文字的字体字号、对齐方式（字体字号设置参照</w:t>
      </w:r>
      <w:r>
        <w:rPr>
          <w:rFonts w:hint="eastAsia"/>
          <w:b/>
          <w:bCs/>
          <w:highlight w:val="none"/>
          <w:lang w:val="en-US" w:eastAsia="zh-CN"/>
        </w:rPr>
        <w:t>操作1</w:t>
      </w:r>
      <w:r>
        <w:rPr>
          <w:rFonts w:hint="eastAsia"/>
          <w:highlight w:val="none"/>
          <w:lang w:val="en-US" w:eastAsia="zh-CN"/>
        </w:rPr>
        <w:t>，对齐方式设置参照</w:t>
      </w:r>
      <w:r>
        <w:rPr>
          <w:rFonts w:hint="eastAsia"/>
          <w:b/>
          <w:bCs/>
          <w:highlight w:val="none"/>
          <w:lang w:val="en-US" w:eastAsia="zh-CN"/>
        </w:rPr>
        <w:t>操作2</w:t>
      </w:r>
      <w:r>
        <w:rPr>
          <w:rFonts w:hint="eastAsia"/>
          <w:highlight w:val="none"/>
          <w:lang w:val="en-US" w:eastAsia="zh-CN"/>
        </w:rPr>
        <w:t>）</w:t>
      </w:r>
    </w:p>
    <w:p w14:paraId="19683FC2">
      <w:pPr>
        <w:numPr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一般情况下，表中文字</w:t>
      </w:r>
      <w:r>
        <w:rPr>
          <w:rFonts w:hint="eastAsia"/>
          <w:highlight w:val="yellow"/>
          <w:lang w:val="en-US" w:eastAsia="zh-CN"/>
        </w:rPr>
        <w:t>五号宋体（英文及数字数字五号Times New Roman）</w:t>
      </w:r>
      <w:r>
        <w:rPr>
          <w:rFonts w:hint="eastAsia"/>
          <w:highlight w:val="none"/>
          <w:lang w:val="en-US" w:eastAsia="zh-CN"/>
        </w:rPr>
        <w:t>，</w:t>
      </w:r>
      <w:r>
        <w:rPr>
          <w:rFonts w:hint="eastAsia"/>
          <w:highlight w:val="yellow"/>
          <w:lang w:val="en-US" w:eastAsia="zh-CN"/>
        </w:rPr>
        <w:t>居中</w:t>
      </w:r>
      <w:r>
        <w:rPr>
          <w:rFonts w:hint="eastAsia"/>
          <w:highlight w:val="none"/>
          <w:lang w:val="en-US" w:eastAsia="zh-CN"/>
        </w:rPr>
        <w:t>（字体字号设置参照</w:t>
      </w:r>
      <w:r>
        <w:rPr>
          <w:rFonts w:hint="eastAsia"/>
          <w:b/>
          <w:bCs/>
          <w:highlight w:val="none"/>
          <w:lang w:val="en-US" w:eastAsia="zh-CN"/>
        </w:rPr>
        <w:t>操作1</w:t>
      </w:r>
      <w:r>
        <w:rPr>
          <w:rFonts w:hint="eastAsia"/>
          <w:highlight w:val="none"/>
          <w:lang w:val="en-US" w:eastAsia="zh-CN"/>
        </w:rPr>
        <w:t>，对齐方式设置参照</w:t>
      </w:r>
      <w:r>
        <w:rPr>
          <w:rFonts w:hint="eastAsia"/>
          <w:b/>
          <w:bCs/>
          <w:highlight w:val="none"/>
          <w:lang w:val="en-US" w:eastAsia="zh-CN"/>
        </w:rPr>
        <w:t>操作2</w:t>
      </w:r>
      <w:r>
        <w:rPr>
          <w:rFonts w:hint="eastAsia"/>
          <w:highlight w:val="none"/>
          <w:lang w:val="en-US" w:eastAsia="zh-CN"/>
        </w:rPr>
        <w:t>）</w:t>
      </w:r>
    </w:p>
    <w:p w14:paraId="2744040A">
      <w:pPr>
        <w:numPr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1020826B">
      <w:pPr>
        <w:numPr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操作4练习：</w:t>
      </w:r>
      <w:r>
        <w:rPr>
          <w:rFonts w:hint="eastAsia"/>
          <w:highlight w:val="none"/>
          <w:lang w:val="en-US" w:eastAsia="zh-CN"/>
        </w:rPr>
        <w:t>对以下表格（表5.7 废水排放量（2017-2019））进行设置，达到一般情况下的要求</w:t>
      </w:r>
    </w:p>
    <w:tbl>
      <w:tblPr>
        <w:tblStyle w:val="9"/>
        <w:tblW w:w="86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871"/>
        <w:gridCol w:w="1694"/>
        <w:gridCol w:w="1493"/>
        <w:gridCol w:w="3460"/>
      </w:tblGrid>
      <w:tr w14:paraId="7AE64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087" w:type="dxa"/>
            <w:noWrap w:val="0"/>
            <w:vAlign w:val="top"/>
          </w:tcPr>
          <w:p w14:paraId="02FE79D2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编号</w:t>
            </w:r>
          </w:p>
        </w:tc>
        <w:tc>
          <w:tcPr>
            <w:tcW w:w="871" w:type="dxa"/>
            <w:noWrap w:val="0"/>
            <w:vAlign w:val="top"/>
          </w:tcPr>
          <w:p w14:paraId="7C715E39">
            <w:pPr>
              <w:ind w:left="0"/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字段名</w:t>
            </w:r>
          </w:p>
        </w:tc>
        <w:tc>
          <w:tcPr>
            <w:tcW w:w="1694" w:type="dxa"/>
            <w:noWrap w:val="0"/>
            <w:vAlign w:val="top"/>
          </w:tcPr>
          <w:p w14:paraId="3976B991">
            <w:pPr>
              <w:ind w:left="0" w:firstLine="420" w:firstLineChars="150"/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数据类型</w:t>
            </w:r>
          </w:p>
        </w:tc>
        <w:tc>
          <w:tcPr>
            <w:tcW w:w="1493" w:type="dxa"/>
            <w:noWrap w:val="0"/>
            <w:vAlign w:val="top"/>
          </w:tcPr>
          <w:p w14:paraId="71F4ECA6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宽度</w:t>
            </w:r>
          </w:p>
        </w:tc>
        <w:tc>
          <w:tcPr>
            <w:tcW w:w="3460" w:type="dxa"/>
            <w:noWrap w:val="0"/>
            <w:vAlign w:val="top"/>
          </w:tcPr>
          <w:p w14:paraId="3AA780ED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说明</w:t>
            </w:r>
          </w:p>
        </w:tc>
      </w:tr>
      <w:tr w14:paraId="1CBB0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087" w:type="dxa"/>
            <w:noWrap w:val="0"/>
            <w:vAlign w:val="top"/>
          </w:tcPr>
          <w:p w14:paraId="5A80812A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1</w:t>
            </w:r>
          </w:p>
        </w:tc>
        <w:tc>
          <w:tcPr>
            <w:tcW w:w="871" w:type="dxa"/>
            <w:noWrap w:val="0"/>
            <w:vAlign w:val="top"/>
          </w:tcPr>
          <w:p w14:paraId="185E2E0E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double</w:t>
            </w:r>
          </w:p>
        </w:tc>
        <w:tc>
          <w:tcPr>
            <w:tcW w:w="1694" w:type="dxa"/>
            <w:noWrap w:val="0"/>
            <w:vAlign w:val="top"/>
          </w:tcPr>
          <w:p w14:paraId="71DA0B97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double</w:t>
            </w:r>
          </w:p>
        </w:tc>
        <w:tc>
          <w:tcPr>
            <w:tcW w:w="1493" w:type="dxa"/>
            <w:noWrap w:val="0"/>
            <w:vAlign w:val="top"/>
          </w:tcPr>
          <w:p w14:paraId="73E6838E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未定义</w:t>
            </w:r>
          </w:p>
        </w:tc>
        <w:tc>
          <w:tcPr>
            <w:tcW w:w="3460" w:type="dxa"/>
            <w:noWrap w:val="0"/>
            <w:vAlign w:val="top"/>
          </w:tcPr>
          <w:p w14:paraId="6344BFB5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2017废水排放量</w:t>
            </w:r>
          </w:p>
        </w:tc>
      </w:tr>
      <w:tr w14:paraId="64EFB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087" w:type="dxa"/>
            <w:noWrap w:val="0"/>
            <w:vAlign w:val="top"/>
          </w:tcPr>
          <w:p w14:paraId="21843CE2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2</w:t>
            </w:r>
          </w:p>
        </w:tc>
        <w:tc>
          <w:tcPr>
            <w:tcW w:w="871" w:type="dxa"/>
            <w:noWrap w:val="0"/>
            <w:vAlign w:val="top"/>
          </w:tcPr>
          <w:p w14:paraId="7385E11E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double</w:t>
            </w:r>
          </w:p>
        </w:tc>
        <w:tc>
          <w:tcPr>
            <w:tcW w:w="1694" w:type="dxa"/>
            <w:noWrap w:val="0"/>
            <w:vAlign w:val="top"/>
          </w:tcPr>
          <w:p w14:paraId="176521D5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double</w:t>
            </w:r>
          </w:p>
        </w:tc>
        <w:tc>
          <w:tcPr>
            <w:tcW w:w="1493" w:type="dxa"/>
            <w:noWrap w:val="0"/>
            <w:vAlign w:val="top"/>
          </w:tcPr>
          <w:p w14:paraId="4695263A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未定义</w:t>
            </w:r>
          </w:p>
        </w:tc>
        <w:tc>
          <w:tcPr>
            <w:tcW w:w="3460" w:type="dxa"/>
            <w:noWrap w:val="0"/>
            <w:vAlign w:val="top"/>
          </w:tcPr>
          <w:p w14:paraId="615F0C03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2018废水排放量</w:t>
            </w:r>
          </w:p>
        </w:tc>
      </w:tr>
      <w:tr w14:paraId="251C0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087" w:type="dxa"/>
            <w:noWrap w:val="0"/>
            <w:vAlign w:val="top"/>
          </w:tcPr>
          <w:p w14:paraId="1548FC72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3</w:t>
            </w:r>
          </w:p>
        </w:tc>
        <w:tc>
          <w:tcPr>
            <w:tcW w:w="871" w:type="dxa"/>
            <w:noWrap w:val="0"/>
            <w:vAlign w:val="top"/>
          </w:tcPr>
          <w:p w14:paraId="633D4485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double</w:t>
            </w:r>
          </w:p>
        </w:tc>
        <w:tc>
          <w:tcPr>
            <w:tcW w:w="1694" w:type="dxa"/>
            <w:noWrap w:val="0"/>
            <w:vAlign w:val="top"/>
          </w:tcPr>
          <w:p w14:paraId="46D31C2E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double</w:t>
            </w:r>
          </w:p>
        </w:tc>
        <w:tc>
          <w:tcPr>
            <w:tcW w:w="1493" w:type="dxa"/>
            <w:noWrap w:val="0"/>
            <w:vAlign w:val="top"/>
          </w:tcPr>
          <w:p w14:paraId="79F77A80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未定义</w:t>
            </w:r>
          </w:p>
        </w:tc>
        <w:tc>
          <w:tcPr>
            <w:tcW w:w="3460" w:type="dxa"/>
            <w:noWrap w:val="0"/>
            <w:vAlign w:val="top"/>
          </w:tcPr>
          <w:p w14:paraId="19ECB14A">
            <w:pPr>
              <w:jc w:val="right"/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Cs w:val="0"/>
                <w:sz w:val="28"/>
                <w:szCs w:val="28"/>
              </w:rPr>
              <w:t>2019废水排放量</w:t>
            </w:r>
          </w:p>
        </w:tc>
      </w:tr>
    </w:tbl>
    <w:p w14:paraId="35FED6F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br w:type="page"/>
      </w:r>
    </w:p>
    <w:p w14:paraId="1D603AF5">
      <w:pPr>
        <w:numPr>
          <w:numId w:val="0"/>
        </w:numPr>
        <w:ind w:left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操作5：图如何设置？</w:t>
      </w:r>
    </w:p>
    <w:p w14:paraId="4887A07F">
      <w:pPr>
        <w:numPr>
          <w:numId w:val="0"/>
        </w:numPr>
        <w:ind w:leftChars="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①在插入菜单中选择序号的图片（</w:t>
      </w:r>
      <w:r>
        <w:rPr>
          <w:rFonts w:hint="eastAsia"/>
          <w:b w:val="0"/>
          <w:bCs w:val="0"/>
          <w:highlight w:val="yellow"/>
          <w:lang w:val="en-US" w:eastAsia="zh-CN"/>
        </w:rPr>
        <w:t>图片要求无水印、无遮挡、清晰、不留过多白边</w:t>
      </w:r>
      <w:r>
        <w:rPr>
          <w:rFonts w:hint="eastAsia"/>
          <w:b w:val="0"/>
          <w:bCs w:val="0"/>
          <w:highlight w:val="none"/>
          <w:lang w:val="en-US" w:eastAsia="zh-CN"/>
        </w:rPr>
        <w:t>）</w:t>
      </w:r>
    </w:p>
    <w:p w14:paraId="397C7F4A">
      <w:pPr>
        <w:numPr>
          <w:numId w:val="0"/>
        </w:numPr>
        <w:ind w:leftChars="0"/>
      </w:pPr>
      <w:r>
        <w:drawing>
          <wp:inline distT="0" distB="0" distL="114300" distR="114300">
            <wp:extent cx="5269230" cy="3895090"/>
            <wp:effectExtent l="0" t="0" r="7620" b="1016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0920B">
      <w:pPr>
        <w:numPr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②设置图片对齐方式</w:t>
      </w:r>
      <w:r>
        <w:rPr>
          <w:rFonts w:hint="eastAsia"/>
          <w:highlight w:val="yellow"/>
          <w:lang w:val="en-US" w:eastAsia="zh-CN"/>
        </w:rPr>
        <w:t>（居中，在无明显变形情况下，图片宽度尽量两端页面顶到与文字齐平，较为美观）</w:t>
      </w:r>
    </w:p>
    <w:p w14:paraId="0069C2C8">
      <w:pPr>
        <w:numPr>
          <w:numId w:val="0"/>
        </w:numPr>
        <w:ind w:leftChars="0"/>
      </w:pPr>
      <w:r>
        <w:drawing>
          <wp:inline distT="0" distB="0" distL="114300" distR="114300">
            <wp:extent cx="4185285" cy="3770630"/>
            <wp:effectExtent l="0" t="0" r="5715" b="127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7D128">
      <w:pPr>
        <w:numPr>
          <w:ilvl w:val="0"/>
          <w:numId w:val="0"/>
        </w:numPr>
        <w:ind w:leftChars="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lang w:val="en-US" w:eastAsia="zh-CN"/>
        </w:rPr>
        <w:t>③</w:t>
      </w:r>
      <w:r>
        <w:rPr>
          <w:rFonts w:hint="eastAsia"/>
          <w:b w:val="0"/>
          <w:bCs w:val="0"/>
          <w:highlight w:val="none"/>
          <w:lang w:val="en-US" w:eastAsia="zh-CN"/>
        </w:rPr>
        <w:t>设置图题（如“图5</w:t>
      </w:r>
      <w:r>
        <w:rPr>
          <w:rFonts w:hint="eastAsia"/>
          <w:sz w:val="21"/>
          <w:szCs w:val="21"/>
        </w:rPr>
        <w:t xml:space="preserve">.1 </w:t>
      </w:r>
      <w:r>
        <w:rPr>
          <w:rFonts w:hint="eastAsia"/>
          <w:sz w:val="21"/>
          <w:szCs w:val="21"/>
          <w:lang w:val="en-US" w:eastAsia="zh-CN"/>
        </w:rPr>
        <w:t>项目流程</w:t>
      </w:r>
      <w:r>
        <w:rPr>
          <w:rFonts w:hint="eastAsia"/>
          <w:sz w:val="21"/>
          <w:szCs w:val="21"/>
          <w:lang w:eastAsia="zh-CN"/>
        </w:rPr>
        <w:t>”</w:t>
      </w:r>
      <w:r>
        <w:rPr>
          <w:rFonts w:hint="eastAsia"/>
          <w:sz w:val="21"/>
          <w:szCs w:val="21"/>
          <w:lang w:val="en-US" w:eastAsia="zh-CN"/>
        </w:rPr>
        <w:t>表示</w:t>
      </w:r>
      <w:r>
        <w:rPr>
          <w:rFonts w:hint="eastAsia"/>
          <w:sz w:val="21"/>
          <w:szCs w:val="21"/>
          <w:highlight w:val="yellow"/>
          <w:lang w:val="en-US" w:eastAsia="zh-CN"/>
        </w:rPr>
        <w:t>第5章</w:t>
      </w:r>
      <w:r>
        <w:rPr>
          <w:rFonts w:hint="eastAsia"/>
          <w:sz w:val="21"/>
          <w:szCs w:val="21"/>
          <w:lang w:val="en-US" w:eastAsia="zh-CN"/>
        </w:rPr>
        <w:t>的</w:t>
      </w:r>
      <w:r>
        <w:rPr>
          <w:rFonts w:hint="eastAsia"/>
          <w:sz w:val="21"/>
          <w:szCs w:val="21"/>
          <w:highlight w:val="yellow"/>
          <w:lang w:val="en-US" w:eastAsia="zh-CN"/>
        </w:rPr>
        <w:t>第1张</w:t>
      </w:r>
      <w:r>
        <w:rPr>
          <w:rFonts w:hint="eastAsia"/>
          <w:sz w:val="21"/>
          <w:szCs w:val="21"/>
          <w:lang w:val="en-US" w:eastAsia="zh-CN"/>
        </w:rPr>
        <w:t>表，同一章节下务必连续编号如图3.1 xxx，图3.2 xxxx，图4.1 xxx，图4.2 xxx，...</w:t>
      </w:r>
      <w:r>
        <w:rPr>
          <w:rFonts w:hint="eastAsia"/>
          <w:b w:val="0"/>
          <w:bCs w:val="0"/>
          <w:highlight w:val="none"/>
          <w:lang w:val="en-US" w:eastAsia="zh-CN"/>
        </w:rPr>
        <w:t>）</w:t>
      </w:r>
    </w:p>
    <w:p w14:paraId="3EE06C78">
      <w:pPr>
        <w:numPr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一般情况下，图题出现在图片的</w:t>
      </w:r>
      <w:r>
        <w:rPr>
          <w:rFonts w:hint="eastAsia"/>
          <w:b w:val="0"/>
          <w:bCs w:val="0"/>
          <w:highlight w:val="yellow"/>
          <w:lang w:val="en-US" w:eastAsia="zh-CN"/>
        </w:rPr>
        <w:t>正下方</w:t>
      </w:r>
      <w:r>
        <w:rPr>
          <w:rFonts w:hint="eastAsia"/>
          <w:b w:val="0"/>
          <w:bCs w:val="0"/>
          <w:highlight w:val="none"/>
          <w:lang w:val="en-US" w:eastAsia="zh-CN"/>
        </w:rPr>
        <w:t>，</w:t>
      </w:r>
      <w:r>
        <w:rPr>
          <w:rFonts w:hint="eastAsia"/>
          <w:highlight w:val="yellow"/>
          <w:lang w:val="en-US" w:eastAsia="zh-CN"/>
        </w:rPr>
        <w:t>五号宋体（英文及数字数字五号Times New Roman）</w:t>
      </w:r>
      <w:r>
        <w:rPr>
          <w:rFonts w:hint="eastAsia"/>
          <w:highlight w:val="none"/>
          <w:lang w:val="en-US" w:eastAsia="zh-CN"/>
        </w:rPr>
        <w:t>，</w:t>
      </w:r>
    </w:p>
    <w:p w14:paraId="0B5A5D4C">
      <w:pPr>
        <w:numPr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操作5练习</w:t>
      </w:r>
      <w:r>
        <w:rPr>
          <w:rFonts w:hint="eastAsia"/>
          <w:highlight w:val="none"/>
          <w:lang w:val="en-US" w:eastAsia="zh-CN"/>
        </w:rPr>
        <w:t>：插入一张图片，作为第4章第2张图，图题为“项目结构”</w:t>
      </w:r>
    </w:p>
    <w:p w14:paraId="118A53BA">
      <w:pPr>
        <w:numPr>
          <w:numId w:val="0"/>
        </w:numPr>
        <w:ind w:leftChars="0"/>
        <w:rPr>
          <w:rFonts w:hint="default"/>
          <w:highlight w:val="none"/>
          <w:lang w:val="en-US" w:eastAsia="zh-CN"/>
        </w:rPr>
      </w:pPr>
      <w:bookmarkStart w:id="10" w:name="_GoBack"/>
      <w:bookmarkEnd w:id="10"/>
    </w:p>
    <w:p w14:paraId="4FDA7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C732BFA">
      <w:pPr>
        <w:numPr>
          <w:numId w:val="0"/>
        </w:numPr>
        <w:ind w:left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操作6：参考文献如何设置？</w:t>
      </w:r>
    </w:p>
    <w:p w14:paraId="2BAAA01B">
      <w:pPr>
        <w:numPr>
          <w:numId w:val="0"/>
        </w:numPr>
        <w:ind w:leftChars="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①打开知网（https://www.cnki.net/）搜索相关文献</w:t>
      </w:r>
    </w:p>
    <w:p w14:paraId="259738C2">
      <w:pPr>
        <w:numPr>
          <w:numId w:val="0"/>
        </w:numPr>
        <w:ind w:leftChars="0"/>
      </w:pPr>
      <w:r>
        <w:drawing>
          <wp:inline distT="0" distB="0" distL="114300" distR="114300">
            <wp:extent cx="5262880" cy="3291205"/>
            <wp:effectExtent l="0" t="0" r="13970" b="444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538D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②确定要引用的文献，并点击引用（文献，必须和论文有相关性，有过引用）</w:t>
      </w:r>
    </w:p>
    <w:p w14:paraId="7860BAED">
      <w:pPr>
        <w:numPr>
          <w:numId w:val="0"/>
        </w:numPr>
        <w:ind w:leftChars="0"/>
      </w:pPr>
      <w:r>
        <w:drawing>
          <wp:inline distT="0" distB="0" distL="114300" distR="114300">
            <wp:extent cx="5270500" cy="2600325"/>
            <wp:effectExtent l="0" t="0" r="6350" b="952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8D97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③复制到word参考文献模块中（</w:t>
      </w:r>
      <w:r>
        <w:rPr>
          <w:rFonts w:hint="eastAsia"/>
          <w:highlight w:val="yellow"/>
          <w:lang w:val="en-US" w:eastAsia="zh-CN"/>
        </w:rPr>
        <w:t>可以先复制txt中，再复制到word中，去除其本身带有的格式</w:t>
      </w:r>
      <w:r>
        <w:rPr>
          <w:rFonts w:hint="eastAsia"/>
          <w:lang w:val="en-US" w:eastAsia="zh-CN"/>
        </w:rPr>
        <w:t>）</w:t>
      </w:r>
    </w:p>
    <w:p w14:paraId="244B380A">
      <w:pPr>
        <w:numPr>
          <w:numId w:val="0"/>
        </w:numPr>
        <w:ind w:leftChars="0"/>
      </w:pPr>
      <w:r>
        <w:drawing>
          <wp:inline distT="0" distB="0" distL="114300" distR="114300">
            <wp:extent cx="5264150" cy="3162935"/>
            <wp:effectExtent l="0" t="0" r="12700" b="1841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E539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复制情况如下:</w:t>
      </w:r>
    </w:p>
    <w:p w14:paraId="68F15D36">
      <w:pPr>
        <w:numPr>
          <w:ilvl w:val="0"/>
          <w:numId w:val="3"/>
        </w:numPr>
        <w:ind w:leftChars="0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杨亚东,耿丽清,杨耿煌,等.基于双通道特征融合并行优化的光伏阵列故障诊断[J/OL].电源学报,1-13[2025-06-18].http://kns.cnki.net/kcms/detail/12.1420.TM.20250617.1647.015.html.</w:t>
      </w:r>
    </w:p>
    <w:p w14:paraId="21545882">
      <w:pPr>
        <w:numPr>
          <w:numId w:val="0"/>
        </w:numPr>
        <w:rPr>
          <w:rFonts w:hint="default"/>
          <w:shd w:val="clear" w:color="auto" w:fill="auto"/>
          <w:lang w:val="en-US" w:eastAsia="zh-CN"/>
        </w:rPr>
      </w:pPr>
    </w:p>
    <w:p w14:paraId="7399E6CB">
      <w:pPr>
        <w:numPr>
          <w:numId w:val="0"/>
        </w:num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一般情况下，末尾出现网址时，</w:t>
      </w:r>
      <w:r>
        <w:rPr>
          <w:rFonts w:hint="eastAsia"/>
          <w:highlight w:val="yellow"/>
          <w:shd w:val="clear" w:color="auto" w:fill="auto"/>
          <w:lang w:val="en-US" w:eastAsia="zh-CN"/>
        </w:rPr>
        <w:t>网址应删去</w:t>
      </w:r>
      <w:r>
        <w:rPr>
          <w:rFonts w:hint="eastAsia"/>
          <w:shd w:val="clear" w:color="auto" w:fill="auto"/>
          <w:lang w:val="en-US" w:eastAsia="zh-CN"/>
        </w:rPr>
        <w:t>，</w:t>
      </w:r>
    </w:p>
    <w:p w14:paraId="7AF95B57">
      <w:pPr>
        <w:numPr>
          <w:ilvl w:val="0"/>
          <w:numId w:val="4"/>
        </w:numPr>
        <w:ind w:leftChars="0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杨亚东,耿丽清,杨耿煌,等.基于双通道特征融合并行优化的光伏阵列故障诊断[J/OL].电源学报,1-13[2025-06-18].</w:t>
      </w:r>
    </w:p>
    <w:p w14:paraId="45EED2CB">
      <w:pPr>
        <w:numPr>
          <w:numId w:val="0"/>
        </w:num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④在正文中引用了该文献的地方</w:t>
      </w:r>
      <w:r>
        <w:rPr>
          <w:rFonts w:hint="eastAsia"/>
          <w:highlight w:val="yellow"/>
          <w:shd w:val="clear" w:color="auto" w:fill="auto"/>
          <w:lang w:val="en-US" w:eastAsia="zh-CN"/>
        </w:rPr>
        <w:t>添加上标</w:t>
      </w:r>
      <w:r>
        <w:rPr>
          <w:rFonts w:hint="eastAsia"/>
          <w:shd w:val="clear" w:color="auto" w:fill="auto"/>
          <w:lang w:val="en-US" w:eastAsia="zh-CN"/>
        </w:rPr>
        <w:t>。</w:t>
      </w:r>
    </w:p>
    <w:p w14:paraId="1610BD48">
      <w:pPr>
        <w:numPr>
          <w:numId w:val="0"/>
        </w:numPr>
      </w:pPr>
      <w:r>
        <w:drawing>
          <wp:inline distT="0" distB="0" distL="114300" distR="114300">
            <wp:extent cx="5270500" cy="2820035"/>
            <wp:effectExtent l="0" t="0" r="6350" b="1841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88D2C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171190"/>
            <wp:effectExtent l="0" t="0" r="10160" b="1016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2089E9"/>
    <w:multiLevelType w:val="multilevel"/>
    <w:tmpl w:val="912089E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CBCFACD3"/>
    <w:multiLevelType w:val="singleLevel"/>
    <w:tmpl w:val="CBCFACD3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2">
    <w:nsid w:val="F1F5BC8E"/>
    <w:multiLevelType w:val="singleLevel"/>
    <w:tmpl w:val="F1F5BC8E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3">
    <w:nsid w:val="00000017"/>
    <w:multiLevelType w:val="multilevel"/>
    <w:tmpl w:val="00000017"/>
    <w:lvl w:ilvl="0" w:tentative="0">
      <w:start w:val="1"/>
      <w:numFmt w:val="chineseCountingThousand"/>
      <w:suff w:val="nothing"/>
      <w:lvlText w:val="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2"/>
      <w:suff w:val="nothing"/>
      <w:lvlText w:val="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3"/>
      <w:suff w:val="nothing"/>
      <w:lvlText w:val="%2.%3 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30"/>
        <w:szCs w:val="32"/>
      </w:rPr>
    </w:lvl>
    <w:lvl w:ilvl="3" w:tentative="0">
      <w:start w:val="1"/>
      <w:numFmt w:val="decimal"/>
      <w:pStyle w:val="4"/>
      <w:suff w:val="nothing"/>
      <w:lvlText w:val="%2.%3.%4 "/>
      <w:lvlJc w:val="left"/>
      <w:pPr>
        <w:ind w:left="360" w:firstLine="0"/>
      </w:pPr>
      <w:rPr>
        <w:rFonts w:hint="eastAsia" w:ascii="黑体" w:eastAsia="黑体"/>
        <w:b w:val="0"/>
        <w:i w:val="0"/>
        <w:sz w:val="28"/>
        <w:szCs w:val="28"/>
      </w:rPr>
    </w:lvl>
    <w:lvl w:ilvl="4" w:tentative="0">
      <w:start w:val="1"/>
      <w:numFmt w:val="decimal"/>
      <w:suff w:val="nothing"/>
      <w:lvlText w:val="%2.%3.%4.%5 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8"/>
        <w:szCs w:val="28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0"/>
      </w:pPr>
      <w:rPr>
        <w:rFonts w:ascii="Times New Roman" w:hAnsi="Times New Roman" w:eastAsia="宋体" w:cs="Times New Roman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E1ED8"/>
    <w:rsid w:val="02A36C44"/>
    <w:rsid w:val="09B94F9F"/>
    <w:rsid w:val="0CAE6912"/>
    <w:rsid w:val="110A4333"/>
    <w:rsid w:val="193B777F"/>
    <w:rsid w:val="272F6449"/>
    <w:rsid w:val="2742617D"/>
    <w:rsid w:val="315C42DF"/>
    <w:rsid w:val="37916623"/>
    <w:rsid w:val="45A05B7B"/>
    <w:rsid w:val="50477021"/>
    <w:rsid w:val="57EF1159"/>
    <w:rsid w:val="6A5E63F6"/>
    <w:rsid w:val="7A48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120" w:after="120" w:line="360" w:lineRule="auto"/>
      <w:jc w:val="left"/>
      <w:outlineLvl w:val="1"/>
    </w:pPr>
    <w:rPr>
      <w:rFonts w:ascii="黑体" w:hAnsi="Arial" w:eastAsia="黑体"/>
      <w:color w:val="auto"/>
      <w:sz w:val="36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120" w:after="120"/>
      <w:jc w:val="left"/>
      <w:outlineLvl w:val="2"/>
    </w:pPr>
    <w:rPr>
      <w:rFonts w:ascii="宋体" w:hAnsi="宋体" w:eastAsia="黑体"/>
      <w:color w:val="auto"/>
      <w:sz w:val="30"/>
      <w:szCs w:val="32"/>
    </w:rPr>
  </w:style>
  <w:style w:type="paragraph" w:styleId="4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line="360" w:lineRule="auto"/>
      <w:jc w:val="left"/>
      <w:outlineLvl w:val="3"/>
    </w:pPr>
    <w:rPr>
      <w:rFonts w:ascii="黑体" w:hAnsi="宋体" w:eastAsia="黑体"/>
      <w:color w:val="auto"/>
      <w:sz w:val="28"/>
      <w:szCs w:val="28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 w:afterLines="0"/>
      <w:ind w:left="0"/>
    </w:pPr>
    <w:rPr>
      <w:color w:val="auto"/>
      <w:sz w:val="21"/>
      <w:szCs w:val="20"/>
    </w:rPr>
  </w:style>
  <w:style w:type="paragraph" w:styleId="7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left="0"/>
      <w:jc w:val="center"/>
    </w:pPr>
    <w:rPr>
      <w:rFonts w:eastAsia="宋体"/>
      <w:kern w:val="2"/>
      <w:sz w:val="18"/>
      <w:szCs w:val="18"/>
      <w:lang w:val="en-US" w:eastAsia="zh-CN" w:bidi="ar-SA"/>
    </w:rPr>
  </w:style>
  <w:style w:type="character" w:styleId="11">
    <w:name w:val="annotation reference"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548</Words>
  <Characters>573</Characters>
  <Lines>0</Lines>
  <Paragraphs>0</Paragraphs>
  <TotalTime>2</TotalTime>
  <ScaleCrop>false</ScaleCrop>
  <LinksUpToDate>false</LinksUpToDate>
  <CharactersWithSpaces>578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2025-06-17T14:17:00Z</dcterms:created>
  <dc:creator>Admin</dc:creator>
  <cp:lastModifiedBy>邱健数</cp:lastModifiedBy>
  <dcterms:modified xsi:type="dcterms:W3CDTF">2025-06-18T02:37:33Z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eyJoZGlkIjoiZTNmMTAxNGUxMzlhZjU2YTAzOTY2YzM2NDkyN2FmZDMiLCJ1c2VySWQiOiI0NTgyNjE3NDgifQ==</vt:lpwstr>
  </property>
  <property fmtid="{D5CDD505-2E9C-101B-9397-08002B2CF9AE}" pid="4" name="ICV">
    <vt:lpwstr>1C8A9AD7531A4C96A92F10D0FEA39489_12</vt:lpwstr>
  </property>
</Properties>
</file>