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descriptivo preliminar de Scopus</w:t>
      </w:r>
    </w:p>
    <w:p>
      <w:r>
        <w:t>IPRE — Minería a cielo abierto | Fase 05 | 19 de octubre de 2026</w:t>
      </w:r>
    </w:p>
    <w:p>
      <w:r>
        <w:t>Esta etapa aplica a Scopus el esquema descriptivo de Joaquín. Los resultados derivan de la matriz computacional v9 y no deben interpretarse como una revisión humana validada.</w:t>
      </w:r>
    </w:p>
    <w:p>
      <w:pPr>
        <w:pStyle w:val="Heading1"/>
      </w:pPr>
      <w:r>
        <w:t>1. Universo de análisis y alcance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25"/>
        <w:gridCol w:w="4925"/>
      </w:tblGrid>
      <w:tr>
        <w:trPr>
          <w:tblHeader/>
        </w:trPr>
        <w:tc>
          <w:tcPr>
            <w:tcW w:type="dxa" w:w="4925"/>
          </w:tcPr>
          <w:p>
            <w:pPr>
              <w:keepNext/>
            </w:pPr>
            <w:r>
              <w:t>Resultado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Publicaciones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Coincidencias de las diez búsquedas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10.683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Publicaciones únicas tras deduplicación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9.547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Exclusiones documentales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151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Excluidas por filtro amplio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4.782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Base amplia Scopus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4.614</w:t>
            </w:r>
          </w:p>
        </w:tc>
      </w:tr>
      <w:tr>
        <w:tc>
          <w:tcPr>
            <w:tcW w:type="dxa" w:w="4925"/>
          </w:tcPr>
          <w:p>
            <w:pPr>
              <w:keepNext/>
            </w:pPr>
            <w:r>
              <w:t>Núcleo operacional IN propuesto</w:t>
            </w:r>
          </w:p>
        </w:tc>
        <w:tc>
          <w:tcPr>
            <w:tcW w:type="dxa" w:w="4925"/>
          </w:tcPr>
          <w:p>
            <w:pPr>
              <w:keepNext/>
            </w:pPr>
            <w:r>
              <w:t>390</w:t>
            </w:r>
          </w:p>
        </w:tc>
      </w:tr>
      <w:tr>
        <w:tc>
          <w:tcPr>
            <w:tcW w:type="dxa" w:w="4925"/>
          </w:tcPr>
          <w:p>
            <w:pPr>
              <w:keepNext w:val="0"/>
            </w:pPr>
            <w:r>
              <w:t>Fuera del núcleo, permanecen en base amplia</w:t>
            </w:r>
          </w:p>
        </w:tc>
        <w:tc>
          <w:tcPr>
            <w:tcW w:type="dxa" w:w="4925"/>
          </w:tcPr>
          <w:p>
            <w:pPr>
              <w:keepNext w:val="0"/>
            </w:pPr>
            <w:r>
              <w:t>4.224</w:t>
            </w:r>
          </w:p>
        </w:tc>
      </w:tr>
    </w:tbl>
    <w:p/>
    <w:p>
      <w:r>
        <w:t>Las cifras de extracción provienen del manifiesto de Fase 1 incluido. La matriz de Fase 4 permite recalcular directamente las cifras de base amplia y núcleo propuesto. Las exclusiones documentales y temáticas no se vuelven a ejecutar en este notebook.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14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ujo_del_estud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Flujo del corpus Scopus. Todas las inclusiones del núcleo son provisionales.</w:t>
      </w:r>
    </w:p>
    <w:p>
      <w:r>
        <w:br w:type="page"/>
      </w:r>
    </w:p>
    <w:p>
      <w:pPr>
        <w:pStyle w:val="Heading1"/>
      </w:pPr>
      <w:r>
        <w:t>2. Evolución de la clasificación</w:t>
      </w:r>
    </w:p>
    <w:p>
      <w:r>
        <w:t>Las versiones v6–v9 se presentan sobre las mismas 4.614 publicaciones. La v9 es un pre-cierre computacional sin transferir auditorías o juicios humanos históricos de OpenAlex.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2"/>
        <w:gridCol w:w="2462"/>
        <w:gridCol w:w="2462"/>
        <w:gridCol w:w="2462"/>
      </w:tblGrid>
      <w:tr>
        <w:trPr>
          <w:tblHeader/>
        </w:trPr>
        <w:tc>
          <w:tcPr>
            <w:tcW w:type="dxa" w:w="2462"/>
          </w:tcPr>
          <w:p>
            <w:pPr>
              <w:keepNext/>
            </w:pPr>
            <w:r>
              <w:t>Versión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IN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OUT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TC / DUDOSO</w:t>
            </w:r>
          </w:p>
        </w:tc>
      </w:tr>
      <w:tr>
        <w:tc>
          <w:tcPr>
            <w:tcW w:type="dxa" w:w="2462"/>
          </w:tcPr>
          <w:p>
            <w:pPr>
              <w:keepNext/>
            </w:pPr>
            <w:r>
              <w:t>v6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452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2857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1305</w:t>
            </w:r>
          </w:p>
        </w:tc>
      </w:tr>
      <w:tr>
        <w:tc>
          <w:tcPr>
            <w:tcW w:type="dxa" w:w="2462"/>
          </w:tcPr>
          <w:p>
            <w:pPr>
              <w:keepNext/>
            </w:pPr>
            <w:r>
              <w:t>v7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476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4138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0</w:t>
            </w:r>
          </w:p>
        </w:tc>
      </w:tr>
      <w:tr>
        <w:tc>
          <w:tcPr>
            <w:tcW w:type="dxa" w:w="2462"/>
          </w:tcPr>
          <w:p>
            <w:pPr>
              <w:keepNext/>
            </w:pPr>
            <w:r>
              <w:t>v8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309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1987</w:t>
            </w:r>
          </w:p>
        </w:tc>
        <w:tc>
          <w:tcPr>
            <w:tcW w:type="dxa" w:w="2462"/>
          </w:tcPr>
          <w:p>
            <w:pPr>
              <w:keepNext/>
            </w:pPr>
            <w:r>
              <w:t>2318</w:t>
            </w:r>
          </w:p>
        </w:tc>
      </w:tr>
      <w:tr>
        <w:tc>
          <w:tcPr>
            <w:tcW w:type="dxa" w:w="2462"/>
          </w:tcPr>
          <w:p>
            <w:pPr>
              <w:keepNext w:val="0"/>
            </w:pPr>
            <w:r>
              <w:t>v9</w:t>
            </w:r>
          </w:p>
        </w:tc>
        <w:tc>
          <w:tcPr>
            <w:tcW w:type="dxa" w:w="2462"/>
          </w:tcPr>
          <w:p>
            <w:pPr>
              <w:keepNext w:val="0"/>
            </w:pPr>
            <w:r>
              <w:t>390</w:t>
            </w:r>
          </w:p>
        </w:tc>
        <w:tc>
          <w:tcPr>
            <w:tcW w:type="dxa" w:w="2462"/>
          </w:tcPr>
          <w:p>
            <w:pPr>
              <w:keepNext w:val="0"/>
            </w:pPr>
            <w:r>
              <w:t>4224</w:t>
            </w:r>
          </w:p>
        </w:tc>
        <w:tc>
          <w:tcPr>
            <w:tcW w:type="dxa" w:w="2462"/>
          </w:tcPr>
          <w:p>
            <w:pPr>
              <w:keepNext w:val="0"/>
            </w:pPr>
            <w:r>
              <w:t>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7139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ersiones_del_crib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13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Evolución de propuestas, con idéntico denominador.</w:t>
      </w:r>
    </w:p>
    <w:p>
      <w:r>
        <w:t>La v9 evaluó 2.318 TC previos: 81 IN con evidencia computacional. 607 OUT por foco y 1630 OUT documentales.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300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ierre_de_T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Resolución automática de TC. OUT documental no demuestra irrelevancia del texto completo.</w:t>
      </w:r>
    </w:p>
    <w:p>
      <w:pPr>
        <w:pStyle w:val="Heading1"/>
      </w:pPr>
      <w:r>
        <w:t>3. Distribución temporal y etiquetas descriptivas</w:t>
      </w:r>
    </w:p>
    <w:p>
      <w:r>
        <w:t>La serie gráfica usa 2000–2025, igual que el análisis original. Los años 2026 y posteriores no se eliminan: se informan separadamente debido al corte temporal no restringido de la consulta de origen.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2"/>
        <w:gridCol w:w="1642"/>
        <w:gridCol w:w="1642"/>
        <w:gridCol w:w="1642"/>
        <w:gridCol w:w="1642"/>
        <w:gridCol w:w="1642"/>
      </w:tblGrid>
      <w:tr>
        <w:trPr>
          <w:tblHeader/>
        </w:trPr>
        <w:tc>
          <w:tcPr>
            <w:tcW w:type="dxa" w:w="1642"/>
          </w:tcPr>
          <w:p>
            <w:pPr>
              <w:keepNext/>
            </w:pPr>
            <w:r>
              <w:t>Grupo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Antes de 2000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2000–2025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Año 2026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Posteriores a 2026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Sin año</w:t>
            </w:r>
          </w:p>
        </w:tc>
      </w:tr>
      <w:tr>
        <w:tc>
          <w:tcPr>
            <w:tcW w:type="dxa" w:w="1642"/>
          </w:tcPr>
          <w:p>
            <w:pPr>
              <w:keepNext/>
            </w:pPr>
            <w:r>
              <w:t>Base amplia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730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3448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429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7</w:t>
            </w:r>
          </w:p>
        </w:tc>
        <w:tc>
          <w:tcPr>
            <w:tcW w:type="dxa" w:w="1642"/>
          </w:tcPr>
          <w:p>
            <w:pPr>
              <w:keepNext/>
            </w:pPr>
            <w:r>
              <w:t>0</w:t>
            </w:r>
          </w:p>
        </w:tc>
      </w:tr>
      <w:tr>
        <w:tc>
          <w:tcPr>
            <w:tcW w:type="dxa" w:w="1642"/>
          </w:tcPr>
          <w:p>
            <w:pPr>
              <w:keepNext w:val="0"/>
            </w:pPr>
            <w:r>
              <w:t>Núcleo IN</w:t>
            </w:r>
          </w:p>
        </w:tc>
        <w:tc>
          <w:tcPr>
            <w:tcW w:type="dxa" w:w="1642"/>
          </w:tcPr>
          <w:p>
            <w:pPr>
              <w:keepNext w:val="0"/>
            </w:pPr>
            <w:r>
              <w:t>31</w:t>
            </w:r>
          </w:p>
        </w:tc>
        <w:tc>
          <w:tcPr>
            <w:tcW w:type="dxa" w:w="1642"/>
          </w:tcPr>
          <w:p>
            <w:pPr>
              <w:keepNext w:val="0"/>
            </w:pPr>
            <w:r>
              <w:t>302</w:t>
            </w:r>
          </w:p>
        </w:tc>
        <w:tc>
          <w:tcPr>
            <w:tcW w:type="dxa" w:w="1642"/>
          </w:tcPr>
          <w:p>
            <w:pPr>
              <w:keepNext w:val="0"/>
            </w:pPr>
            <w:r>
              <w:t>57</w:t>
            </w:r>
          </w:p>
        </w:tc>
        <w:tc>
          <w:tcPr>
            <w:tcW w:type="dxa" w:w="1642"/>
          </w:tcPr>
          <w:p>
            <w:pPr>
              <w:keepNext w:val="0"/>
            </w:pPr>
            <w:r>
              <w:t>0</w:t>
            </w:r>
          </w:p>
        </w:tc>
        <w:tc>
          <w:tcPr>
            <w:tcW w:type="dxa" w:w="1642"/>
          </w:tcPr>
          <w:p>
            <w:pPr>
              <w:keepNext w:val="0"/>
            </w:pPr>
            <w:r>
              <w:t>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184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blicaciones_por_a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8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Evolución 2000–2025. El año 2026 es parcial.</w:t>
      </w:r>
    </w:p>
    <w:p>
      <w:r>
        <w:t>Los diccionarios de Joaquín detectan menciones de procesos, equipos y focos. Las categorías pueden superponerse dentro de un artículo y no confirman el objeto principal. La comparación visual está sujeta a los límites del vocabulario utilizado.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465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enciones_de_proces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Menciones automáticas de procesos, no temas centrales verificados.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1277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nciones_de_equip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2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Menciones automáticas de equipos, incluyendo posibles auxiliares.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916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ocos_en_cada_ba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16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Porcentajes por foco dentro de cada grupo; distintos denominadores.</w:t>
      </w:r>
    </w:p>
    <w:p>
      <w:pPr>
        <w:pStyle w:val="Heading1"/>
      </w:pPr>
      <w:r>
        <w:t>4. Validación pendiente y próximos pasos</w:t>
      </w:r>
    </w:p>
    <w:p>
      <w:r>
        <w:t>Joaquín dispone de 40 fichas históricas con juicio humano en OpenAlex. Estas no se trasladaron a Scopus. A la fecha, los resultados de Scopus no incluyen auditoría humana independiente ni lectura de texto completo en el cierre v9.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80" cy="16913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stado_validacion_pendie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691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8. Trabajos de revisión propuestos, no decisiones humanas realizadas.</w:t>
      </w:r>
    </w:p>
    <w:p>
      <w:r>
        <w:t>Prioridades: (1) revisar las 390 propuestas IN, incluidas las 81 nuevas desde TC; (2) evaluar 120 OUT seleccionados y controlar los excluidos amplios; (3) resolver alertas de deduplicación, retractaciones y paratextos de Fase 1; (4) definir objeto central y tipo de evidencia por publicación para contrastar las hipótesis sobre equipos auxiliares.</w:t>
      </w:r>
    </w:p>
    <w:p>
      <w:r>
        <w:t>La similitud de recuentos Scopus y OpenAlex no implica igualdad de publicaciones ni equivalencia de validación. Los resultados son preliminares y deben mantenerse como una cohorte independiente.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195" w:bottom="950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Avance preliminar  |  19 de octubre de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IPRE   |   Minería a cielo abierto   |   Scopus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Avance descriptivo preliminar IPRE — Scopus v9</dc:title>
  <dc:subject>Análisis descriptivo de publicaciones Scopus, resultados computacionales pendientes de validación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