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02A" w:color="auto" w:val="clear"/>
            <w:tcMar>
              <w:top w:type="dxa" w:w="520"/>
              <w:left w:type="dxa" w:w="440"/>
              <w:bottom w:type="dxa" w:w="520"/>
              <w:right w:type="dxa" w:w="440"/>
            </w:tcMar>
          </w:tcPr>
          <w:p>
            <w:pPr>
              <w:spacing w:after="200"/>
            </w:pPr>
            <w:r>
              <w:rPr>
                <w:rFonts w:ascii="Consolas" w:cs="Consolas" w:eastAsia="Consolas" w:hAnsi="Consolas"/>
                <w:caps/>
                <w:color w:val="AFBDC5"/>
                <w:spacing w:val="26"/>
                <w:sz w:val="15"/>
                <w:szCs w:val="15"/>
              </w:rPr>
              <w:t xml:space="preserve">Pflegewissen  ·  Neurologie  ·  Demenzformen</w:t>
            </w:r>
          </w:p>
          <w:p>
            <w:pPr>
              <w:spacing w:after="0" w:line="700" w:lineRule="exac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8"/>
                <w:szCs w:val="68"/>
              </w:rPr>
              <w:t xml:space="preserve">Frontotemporale</w:t>
            </w:r>
          </w:p>
          <w:p>
            <w:pPr>
              <w:spacing w:after="240" w:line="700" w:lineRule="exact"/>
            </w:pPr>
            <w:r>
              <w:rPr>
                <w:rFonts w:ascii="Georgia" w:cs="Georgia" w:eastAsia="Georgia" w:hAnsi="Georgia"/>
                <w:b/>
                <w:bCs/>
                <w:color w:val="C2571C"/>
                <w:sz w:val="68"/>
                <w:szCs w:val="68"/>
              </w:rPr>
              <w:t xml:space="preserve">Demenz</w:t>
            </w:r>
          </w:p>
          <w:p>
            <w:pPr>
              <w:spacing w:after="120" w:line="300"/>
            </w:pPr>
            <w:r>
              <w:rPr>
                <w:rFonts w:ascii="Segoe UI" w:cs="Segoe UI" w:eastAsia="Segoe UI" w:hAnsi="Segoe UI"/>
                <w:color w:val="AFBDC5"/>
                <w:sz w:val="24"/>
                <w:szCs w:val="24"/>
              </w:rPr>
              <w:t xml:space="preserve">Die Demenz, die nicht mit Vergesslichkeit beginnt, sondern mit einem Menschen, der sich verändert.</w:t>
            </w:r>
          </w:p>
          <w:p>
            <w:r>
              <w:rPr>
                <w:rFonts w:ascii="Consolas" w:cs="Consolas" w:eastAsia="Consolas" w:hAnsi="Consolas"/>
                <w:color w:val="AFBDC5"/>
                <w:spacing w:val="10"/>
                <w:sz w:val="16"/>
                <w:szCs w:val="16"/>
              </w:rPr>
              <w:t xml:space="preserve">FTD  ·  FTLD (frontotemporale Lobärdegeneration)  ·  historisch: Morbus Pick</w:t>
            </w:r>
          </w:p>
        </w:tc>
      </w:tr>
    </w:tbl>
    <w:p>
      <w:pPr>
        <w:spacing w:after="200"/>
      </w:pPr>
    </w:p>
    <w:p>
      <w:pPr>
        <w:spacing w:after="60"/>
        <w:jc w:val="center"/>
      </w:pPr>
      <w:r>
        <w:drawing>
          <wp:inline distT="0" distB="0" distL="0" distR="0">
            <wp:extent cx="607695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80"/>
        <w:jc w:val="center"/>
      </w:pPr>
      <w:r>
        <w:rPr>
          <w:rFonts w:ascii="Consolas" w:cs="Consolas" w:eastAsia="Consolas" w:hAnsi="Consolas"/>
          <w:color w:val="566873"/>
          <w:spacing w:val="10"/>
          <w:sz w:val="16"/>
          <w:szCs w:val="16"/>
        </w:rPr>
        <w:t xml:space="preserve">Schematische Seitenansicht, Stirn links — hier beginnt und wirkt die Atrophie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571C" w:sz="24"/>
              <w:bottom w:val="none" w:color="FFFFFF" w:sz="0"/>
              <w:right w:val="none" w:color="FFFFFF" w:sz="0"/>
            </w:tcBorders>
            <w:shd w:fill="FBF0E8" w:color="auto" w:val="clear"/>
            <w:tcMar>
              <w:top w:type="dxa" w:w="190"/>
              <w:left w:type="dxa" w:w="260"/>
              <w:bottom w:type="dxa" w:w="190"/>
              <w:right w:type="dxa" w:w="260"/>
            </w:tcMar>
          </w:tcPr>
          <w:p>
            <w:pPr>
              <w:spacing w:after="90" w:line="34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30"/>
                <w:szCs w:val="30"/>
              </w:rPr>
              <w:t xml:space="preserve">Bei der FTD geht nicht zuerst das Gedächtnis verloren — sondern die Persönlichkeit.</w:t>
            </w:r>
          </w:p>
          <w:p>
            <w:r>
              <w:rPr>
                <w:rFonts w:ascii="Consolas" w:cs="Consolas" w:eastAsia="Consolas" w:hAnsi="Consolas"/>
                <w:caps/>
                <w:color w:val="C2571C"/>
                <w:spacing w:val="26"/>
                <w:sz w:val="15"/>
                <w:szCs w:val="15"/>
              </w:rPr>
              <w:t xml:space="preserve">Der wichtigste Merksatz dieser Zusammenfassung</w:t>
            </w:r>
          </w:p>
        </w:tc>
      </w:tr>
    </w:tbl>
    <w:p>
      <w:pPr>
        <w:spacing w:after="360"/>
      </w:pPr>
    </w:p>
    <w:p>
      <w:pPr>
        <w:pBdr>
          <w:top w:val="single" w:color="14202A" w:sz="8" w:space="8"/>
        </w:pBdr>
        <w:spacing w:after="12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Inhalt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caps/>
                <w:color w:val="C2571C"/>
                <w:spacing w:val="26"/>
                <w:sz w:val="15"/>
                <w:szCs w:val="15"/>
              </w:rPr>
              <w:t xml:space="preserve">Überblick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Was bei der FTD im Gehirn passiert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caps/>
                <w:color w:val="C2571C"/>
                <w:spacing w:val="26"/>
                <w:sz w:val="15"/>
                <w:szCs w:val="15"/>
              </w:rPr>
              <w:t xml:space="preserve">Varianten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Drei Erscheinungsbilder — je nach Ort der Atrophie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caps/>
                <w:color w:val="C2571C"/>
                <w:spacing w:val="26"/>
                <w:sz w:val="15"/>
                <w:szCs w:val="15"/>
              </w:rPr>
              <w:t xml:space="preserve">Leitsymptome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Die sechs Kernmerkmale der Verhaltensvariante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caps/>
                <w:color w:val="C2571C"/>
                <w:spacing w:val="26"/>
                <w:sz w:val="15"/>
                <w:szCs w:val="15"/>
              </w:rPr>
              <w:t xml:space="preserve">Differenzialdiagnose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FTD gegen Alzheimer-Demenz abgrenzen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caps/>
                <w:color w:val="C2571C"/>
                <w:spacing w:val="26"/>
                <w:sz w:val="15"/>
                <w:szCs w:val="15"/>
              </w:rPr>
              <w:t xml:space="preserve">Diagnostik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Wie die Diagnose gesichert wird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caps/>
                <w:color w:val="C2571C"/>
                <w:spacing w:val="26"/>
                <w:sz w:val="15"/>
                <w:szCs w:val="15"/>
              </w:rPr>
              <w:t xml:space="preserve">Therapie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Behandelbar sind die Symptome, nicht die Ursache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caps/>
                <w:color w:val="C2571C"/>
                <w:spacing w:val="26"/>
                <w:sz w:val="15"/>
                <w:szCs w:val="15"/>
              </w:rPr>
              <w:t xml:space="preserve">Pflege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Pflegerische Schwerpunkte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caps/>
                <w:color w:val="C2571C"/>
                <w:spacing w:val="26"/>
                <w:sz w:val="15"/>
                <w:szCs w:val="15"/>
              </w:rPr>
              <w:t xml:space="preserve">Angehörige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Warum die Belastung hier besonders hoch ist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caps/>
                <w:color w:val="C2571C"/>
                <w:spacing w:val="26"/>
                <w:sz w:val="15"/>
                <w:szCs w:val="15"/>
              </w:rPr>
              <w:t xml:space="preserve">Prüfungswissen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0"/>
            </w:tcMar>
          </w:tcPr>
          <w:p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Sechs Fragen, sechs Antworten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Auf einen Blick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single" w:color="14202A" w:sz="18"/>
              <w:left w:val="none" w:color="FFFFFF" w:sz="0"/>
              <w:bottom w:val="none" w:color="FFFFFF" w:sz="0"/>
              <w:right w:val="single" w:color="FFFFFF" w:sz="6"/>
            </w:tcBorders>
            <w:shd w:fill="EFF2F4" w:color="auto" w:val="clear"/>
            <w:tcMar>
              <w:top w:type="dxa" w:w="180"/>
              <w:left w:type="dxa" w:w="190"/>
              <w:bottom w:type="dxa" w:w="200"/>
              <w:right w:type="dxa" w:w="19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aps/>
                <w:color w:val="566873"/>
                <w:spacing w:val="26"/>
                <w:sz w:val="15"/>
                <w:szCs w:val="15"/>
              </w:rPr>
              <w:t xml:space="preserve">Anteil aller Demenzen</w:t>
            </w:r>
          </w:p>
          <w:p>
            <w:pPr>
              <w:spacing w:after="9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30"/>
                <w:szCs w:val="30"/>
              </w:rPr>
              <w:t xml:space="preserve">3–10 %</w:t>
            </w:r>
          </w:p>
          <w:p>
            <w:pPr>
              <w:spacing w:line="240"/>
            </w:pPr>
            <w:r>
              <w:rPr>
                <w:rFonts w:ascii="Segoe UI" w:cs="Segoe UI" w:eastAsia="Segoe UI" w:hAnsi="Segoe UI"/>
                <w:color w:val="566873"/>
                <w:sz w:val="16"/>
                <w:szCs w:val="16"/>
              </w:rPr>
              <w:t xml:space="preserve">selten insgesamt — aber eine der häufigsten Demenz­ursachen vor dem 65. Lebensjahr</w:t>
            </w:r>
          </w:p>
        </w:tc>
        <w:tc>
          <w:tcPr>
            <w:tcW w:type="dxa" w:w="2409"/>
            <w:tcBorders>
              <w:top w:val="single" w:color="14202A" w:sz="18"/>
              <w:left w:val="none" w:color="FFFFFF" w:sz="0"/>
              <w:bottom w:val="none" w:color="FFFFFF" w:sz="0"/>
              <w:right w:val="single" w:color="FFFFFF" w:sz="6"/>
            </w:tcBorders>
            <w:shd w:fill="EFF2F4" w:color="auto" w:val="clear"/>
            <w:tcMar>
              <w:top w:type="dxa" w:w="180"/>
              <w:left w:type="dxa" w:w="190"/>
              <w:bottom w:type="dxa" w:w="200"/>
              <w:right w:type="dxa" w:w="19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aps/>
                <w:color w:val="566873"/>
                <w:spacing w:val="26"/>
                <w:sz w:val="15"/>
                <w:szCs w:val="15"/>
              </w:rPr>
              <w:t xml:space="preserve">Erkrankungsgipfel</w:t>
            </w:r>
          </w:p>
          <w:p>
            <w:pPr>
              <w:spacing w:after="9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30"/>
                <w:szCs w:val="30"/>
              </w:rPr>
              <w:t xml:space="preserve">50.–60. Lj.</w:t>
            </w:r>
          </w:p>
          <w:p>
            <w:pPr>
              <w:spacing w:line="240"/>
            </w:pPr>
            <w:r>
              <w:rPr>
                <w:rFonts w:ascii="Segoe UI" w:cs="Segoe UI" w:eastAsia="Segoe UI" w:hAnsi="Segoe UI"/>
                <w:color w:val="566873"/>
                <w:sz w:val="16"/>
                <w:szCs w:val="16"/>
              </w:rPr>
              <w:t xml:space="preserve">Betroffene stehen meist mitten im Berufsleben und in der Familie</w:t>
            </w:r>
          </w:p>
        </w:tc>
        <w:tc>
          <w:tcPr>
            <w:tcW w:type="dxa" w:w="2409"/>
            <w:tcBorders>
              <w:top w:val="single" w:color="14202A" w:sz="18"/>
              <w:left w:val="none" w:color="FFFFFF" w:sz="0"/>
              <w:bottom w:val="none" w:color="FFFFFF" w:sz="0"/>
              <w:right w:val="single" w:color="FFFFFF" w:sz="6"/>
            </w:tcBorders>
            <w:shd w:fill="EFF2F4" w:color="auto" w:val="clear"/>
            <w:tcMar>
              <w:top w:type="dxa" w:w="180"/>
              <w:left w:type="dxa" w:w="190"/>
              <w:bottom w:type="dxa" w:w="200"/>
              <w:right w:type="dxa" w:w="19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aps/>
                <w:color w:val="566873"/>
                <w:spacing w:val="26"/>
                <w:sz w:val="15"/>
                <w:szCs w:val="15"/>
              </w:rPr>
              <w:t xml:space="preserve">Familiäre Häufung</w:t>
            </w:r>
          </w:p>
          <w:p>
            <w:pPr>
              <w:spacing w:after="9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30"/>
                <w:szCs w:val="30"/>
              </w:rPr>
              <w:t xml:space="preserve">bis 40 %</w:t>
            </w:r>
          </w:p>
          <w:p>
            <w:pPr>
              <w:spacing w:line="240"/>
            </w:pPr>
            <w:r>
              <w:rPr>
                <w:rFonts w:ascii="Segoe UI" w:cs="Segoe UI" w:eastAsia="Segoe UI" w:hAnsi="Segoe UI"/>
                <w:color w:val="566873"/>
                <w:sz w:val="16"/>
                <w:szCs w:val="16"/>
              </w:rPr>
              <w:t xml:space="preserve">10–20 % autosomal-dominant; Gene C9orf72, MAPT, GRN</w:t>
            </w:r>
          </w:p>
        </w:tc>
        <w:tc>
          <w:tcPr>
            <w:tcW w:type="dxa" w:w="2409"/>
            <w:tcBorders>
              <w:top w:val="single" w:color="14202A" w:sz="18"/>
              <w:left w:val="none" w:color="FFFFFF" w:sz="0"/>
              <w:bottom w:val="none" w:color="FFFFFF" w:sz="0"/>
              <w:right w:val="none" w:color="FFFFFF" w:sz="0"/>
            </w:tcBorders>
            <w:shd w:fill="EFF2F4" w:color="auto" w:val="clear"/>
            <w:tcMar>
              <w:top w:type="dxa" w:w="180"/>
              <w:left w:type="dxa" w:w="190"/>
              <w:bottom w:type="dxa" w:w="200"/>
              <w:right w:type="dxa" w:w="19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aps/>
                <w:color w:val="566873"/>
                <w:spacing w:val="26"/>
                <w:sz w:val="15"/>
                <w:szCs w:val="15"/>
              </w:rPr>
              <w:t xml:space="preserve">Mittlere Dauer</w:t>
            </w:r>
          </w:p>
          <w:p>
            <w:pPr>
              <w:spacing w:after="9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30"/>
                <w:szCs w:val="30"/>
              </w:rPr>
              <w:t xml:space="preserve">6–12 Jahre</w:t>
            </w:r>
          </w:p>
          <w:p>
            <w:pPr>
              <w:spacing w:line="240"/>
            </w:pPr>
            <w:r>
              <w:rPr>
                <w:rFonts w:ascii="Segoe UI" w:cs="Segoe UI" w:eastAsia="Segoe UI" w:hAnsi="Segoe UI"/>
                <w:color w:val="566873"/>
                <w:sz w:val="16"/>
                <w:szCs w:val="16"/>
              </w:rPr>
              <w:t xml:space="preserve">deutlich kürzer bei Kombination mit einer ALS (ca. 2–3 Jahre)</w:t>
            </w:r>
          </w:p>
        </w:tc>
      </w:tr>
    </w:tbl>
    <w:p>
      <w:pPr>
        <w:spacing w:after="200"/>
      </w:pPr>
    </w:p>
    <w:p>
      <w:pPr>
        <w:keepNext/>
        <w:pBdr>
          <w:top w:val="single" w:color="14202A" w:sz="8" w:space="8"/>
        </w:pBdr>
        <w:spacing w:after="60" w:before="4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Überblick</w:t>
      </w:r>
    </w:p>
    <w:p>
      <w:pPr>
        <w:pStyle w:val="Heading1"/>
        <w:keepNext/>
        <w:spacing w:after="180" w:before="0"/>
      </w:pPr>
      <w:r>
        <w:rPr>
          <w:rFonts w:ascii="Georgia" w:cs="Georgia" w:eastAsia="Georgia" w:hAnsi="Georgia"/>
          <w:b/>
          <w:bCs/>
          <w:color w:val="14202A"/>
          <w:sz w:val="34"/>
          <w:szCs w:val="34"/>
        </w:rPr>
        <w:t xml:space="preserve">Was bei der FTD im Gehirn passiert</w:t>
      </w:r>
    </w:p>
    <w:p>
      <w:pPr>
        <w:spacing w:after="140" w:line="276"/>
      </w:pPr>
      <w:r>
        <w:rPr>
          <w:rFonts w:ascii="Segoe UI" w:cs="Segoe UI" w:eastAsia="Segoe UI" w:hAnsi="Segoe UI"/>
          <w:color w:val="24333D"/>
          <w:sz w:val="20"/>
          <w:szCs w:val="20"/>
        </w:rPr>
        <w:t xml:space="preserve">Die FTD ist keine einzelne Krankheit, sondern eine 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Gruppe neurodegenerativer Erkrankungen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 mit einem gemeinsamen Muster: Nervenzellen gehen umschrieben (fokal) im Stirn- und Schläfenlappen zugrunde, während andere Hirnregionen lange verschont bleiben. Deshalb sind die ersten Symptome nicht Gedächtnislücken, sondern Verhalten und Sprache.</w:t>
      </w:r>
    </w:p>
    <w:p>
      <w:pPr>
        <w:spacing w:after="6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14202A" w:sz="24"/>
              <w:left w:val="none" w:color="FFFFFF" w:sz="0"/>
              <w:bottom w:val="none" w:color="FFFFFF" w:sz="0"/>
              <w:right w:val="single" w:color="FFFFFF" w:sz="8"/>
            </w:tcBorders>
            <w:shd w:fill="EFF2F4" w:color="auto" w:val="clear"/>
            <w:tcMar>
              <w:top w:type="dxa" w:w="170"/>
              <w:left w:type="dxa" w:w="190"/>
              <w:bottom w:type="dxa" w:w="190"/>
              <w:right w:type="dxa" w:w="19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caps/>
                <w:color w:val="14202A"/>
                <w:spacing w:val="26"/>
                <w:sz w:val="15"/>
                <w:szCs w:val="15"/>
              </w:rPr>
              <w:t xml:space="preserve">Pathologie</w:t>
            </w:r>
          </w:p>
          <w:p>
            <w:pPr>
              <w:spacing w:after="90" w:line="25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21"/>
                <w:szCs w:val="21"/>
              </w:rPr>
              <w:t xml:space="preserve">Umschriebene Atrophie</w:t>
            </w:r>
          </w:p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Fortschreitender Nervenzelluntergang im Frontal- und Temporallappen. Im MRT wird das als deutliche Volumenminderung genau dieser Regionen sichtbar.</w:t>
            </w:r>
          </w:p>
        </w:tc>
        <w:tc>
          <w:tcPr>
            <w:tcW w:type="dxa" w:w="3212"/>
            <w:tcBorders>
              <w:top w:val="single" w:color="14202A" w:sz="24"/>
              <w:left w:val="none" w:color="FFFFFF" w:sz="0"/>
              <w:bottom w:val="none" w:color="FFFFFF" w:sz="0"/>
              <w:right w:val="single" w:color="FFFFFF" w:sz="8"/>
            </w:tcBorders>
            <w:shd w:fill="EFF2F4" w:color="auto" w:val="clear"/>
            <w:tcMar>
              <w:top w:type="dxa" w:w="170"/>
              <w:left w:type="dxa" w:w="190"/>
              <w:bottom w:type="dxa" w:w="190"/>
              <w:right w:type="dxa" w:w="19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caps/>
                <w:color w:val="14202A"/>
                <w:spacing w:val="26"/>
                <w:sz w:val="15"/>
                <w:szCs w:val="15"/>
              </w:rPr>
              <w:t xml:space="preserve">Ablagerungen</w:t>
            </w:r>
          </w:p>
          <w:p>
            <w:pPr>
              <w:spacing w:after="90" w:line="25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21"/>
                <w:szCs w:val="21"/>
              </w:rPr>
              <w:t xml:space="preserve">Tau, TDP-43 oder FUS</w:t>
            </w:r>
          </w:p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Fehlgefaltete Proteine lagern sich in den Nervenzellen ab. Die Untergruppen heißen danach FTLD-Tau, FTLD-TDP und FTLD-FUS.</w:t>
            </w:r>
          </w:p>
        </w:tc>
        <w:tc>
          <w:tcPr>
            <w:tcW w:type="dxa" w:w="3212"/>
            <w:tcBorders>
              <w:top w:val="single" w:color="14202A" w:sz="24"/>
              <w:left w:val="none" w:color="FFFFFF" w:sz="0"/>
              <w:bottom w:val="none" w:color="FFFFFF" w:sz="0"/>
              <w:right w:val="none" w:color="FFFFFF" w:sz="0"/>
            </w:tcBorders>
            <w:shd w:fill="EFF2F4" w:color="auto" w:val="clear"/>
            <w:tcMar>
              <w:top w:type="dxa" w:w="170"/>
              <w:left w:type="dxa" w:w="190"/>
              <w:bottom w:type="dxa" w:w="190"/>
              <w:right w:type="dxa" w:w="19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caps/>
                <w:color w:val="14202A"/>
                <w:spacing w:val="26"/>
                <w:sz w:val="15"/>
                <w:szCs w:val="15"/>
              </w:rPr>
              <w:t xml:space="preserve">Abgrenzung</w:t>
            </w:r>
          </w:p>
          <w:p>
            <w:pPr>
              <w:spacing w:after="90" w:line="25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21"/>
                <w:szCs w:val="21"/>
              </w:rPr>
              <w:t xml:space="preserve">Kein Beta-Amyloid</w:t>
            </w:r>
          </w:p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Anders als bei der Alzheimer-Demenz fehlen die typischen Beta-Amyloid-Plaques. Genau darauf beruht die Liquordiagnostik zur Unterscheidung.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696F" w:sz="24"/>
              <w:bottom w:val="none" w:color="FFFFFF" w:sz="0"/>
              <w:right w:val="none" w:color="FFFFFF" w:sz="0"/>
            </w:tcBorders>
            <w:shd w:fill="E7F1F1" w:color="auto" w:val="clear"/>
            <w:tcMar>
              <w:top w:type="dxa" w:w="190"/>
              <w:left w:type="dxa" w:w="260"/>
              <w:bottom w:type="dxa" w:w="190"/>
              <w:right w:type="dxa" w:w="26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caps/>
                <w:color w:val="16696F"/>
                <w:spacing w:val="26"/>
                <w:sz w:val="15"/>
                <w:szCs w:val="15"/>
              </w:rPr>
              <w:t xml:space="preserve">Überlappungssyndrome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Die FTD kann gemeinsam mit einer </w:t>
            </w:r>
            <w:r>
              <w:rPr>
                <w:rFonts w:ascii="Segoe UI" w:cs="Segoe UI" w:eastAsia="Segoe UI" w:hAnsi="Segoe UI"/>
                <w:b/>
                <w:bCs/>
                <w:color w:val="14202A"/>
                <w:sz w:val="20"/>
                <w:szCs w:val="20"/>
              </w:rPr>
              <w:t xml:space="preserve">ALS (amyotrophe Lateralsklerose)</w:t>
            </w: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 auftreten sowie mit atypischen Parkinson-Syndromen (PSP, CBD). Bei jedem FTD-Patienten deshalb gezielt auf Muskelschwäche, Faszikulationen, Schluck- und Sprechstörungen achten — sie verkürzen die Prognose erheblich.</w:t>
            </w:r>
          </w:p>
        </w:tc>
      </w:tr>
    </w:tbl>
    <w:p>
      <w:pPr>
        <w:keepNext/>
        <w:pBdr>
          <w:top w:val="single" w:color="14202A" w:sz="8" w:space="8"/>
        </w:pBdr>
        <w:spacing w:after="60" w:before="4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Varianten</w:t>
      </w:r>
    </w:p>
    <w:p>
      <w:pPr>
        <w:pStyle w:val="Heading1"/>
        <w:keepNext/>
        <w:spacing w:after="180" w:before="0"/>
      </w:pPr>
      <w:r>
        <w:rPr>
          <w:rFonts w:ascii="Georgia" w:cs="Georgia" w:eastAsia="Georgia" w:hAnsi="Georgia"/>
          <w:b/>
          <w:bCs/>
          <w:color w:val="14202A"/>
          <w:sz w:val="34"/>
          <w:szCs w:val="34"/>
        </w:rPr>
        <w:t xml:space="preserve">Drei Erscheinungsbilder — je nach Ort der Atrophie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C2571C" w:sz="24"/>
              <w:left w:val="none" w:color="FFFFFF" w:sz="0"/>
              <w:bottom w:val="none" w:color="FFFFFF" w:sz="0"/>
              <w:right w:val="single" w:color="FFFFFF" w:sz="8"/>
            </w:tcBorders>
            <w:shd w:fill="FBF0E8" w:color="auto" w:val="clear"/>
            <w:tcMar>
              <w:top w:type="dxa" w:w="170"/>
              <w:left w:type="dxa" w:w="190"/>
              <w:bottom w:type="dxa" w:w="190"/>
              <w:right w:type="dxa" w:w="19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caps/>
                <w:color w:val="C2571C"/>
                <w:spacing w:val="26"/>
                <w:sz w:val="15"/>
                <w:szCs w:val="15"/>
              </w:rPr>
              <w:t xml:space="preserve">bvFTD · frontal</w:t>
            </w:r>
          </w:p>
          <w:p>
            <w:pPr>
              <w:spacing w:after="90" w:line="25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21"/>
                <w:szCs w:val="21"/>
              </w:rPr>
              <w:t xml:space="preserve">Verhaltensvariante</w:t>
            </w:r>
          </w:p>
          <w:p>
            <w:pPr>
              <w:spacing w:after="110"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Die häufigste Form. Im Vordergrund stehen Enthemmung, Apathie, Empathieverlust und verändertes Essverhalten. Sprache und Gedächtnis bleiben anfangs unauffällig.</w:t>
            </w:r>
          </w:p>
          <w:p>
            <w:pPr>
              <w:pBdr>
                <w:top w:val="single" w:color="C3CDD2" w:sz="4" w:space="6"/>
              </w:pBdr>
              <w:spacing w:before="40"/>
            </w:pPr>
            <w:r>
              <w:rPr>
                <w:rFonts w:ascii="Consolas" w:cs="Consolas" w:eastAsia="Consolas" w:hAnsi="Consolas"/>
                <w:color w:val="566873"/>
                <w:sz w:val="16"/>
                <w:szCs w:val="16"/>
              </w:rPr>
              <w:t xml:space="preserve">ca. 60 % aller FTD-Fälle</w:t>
            </w:r>
          </w:p>
        </w:tc>
        <w:tc>
          <w:tcPr>
            <w:tcW w:type="dxa" w:w="3212"/>
            <w:tcBorders>
              <w:top w:val="single" w:color="16696F" w:sz="24"/>
              <w:left w:val="none" w:color="FFFFFF" w:sz="0"/>
              <w:bottom w:val="none" w:color="FFFFFF" w:sz="0"/>
              <w:right w:val="single" w:color="FFFFFF" w:sz="8"/>
            </w:tcBorders>
            <w:shd w:fill="E7F1F1" w:color="auto" w:val="clear"/>
            <w:tcMar>
              <w:top w:type="dxa" w:w="170"/>
              <w:left w:type="dxa" w:w="190"/>
              <w:bottom w:type="dxa" w:w="190"/>
              <w:right w:type="dxa" w:w="19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caps/>
                <w:color w:val="16696F"/>
                <w:spacing w:val="26"/>
                <w:sz w:val="15"/>
                <w:szCs w:val="15"/>
              </w:rPr>
              <w:t xml:space="preserve">svPPA · temporal</w:t>
            </w:r>
          </w:p>
          <w:p>
            <w:pPr>
              <w:spacing w:after="90" w:line="25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21"/>
                <w:szCs w:val="21"/>
              </w:rPr>
              <w:t xml:space="preserve">Semantische Demenz</w:t>
            </w:r>
          </w:p>
          <w:p>
            <w:pPr>
              <w:spacing w:after="110"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Flüssiges, aber inhaltsleeres Sprechen. Die </w:t>
            </w:r>
            <w:r>
              <w:rPr>
                <w:rFonts w:ascii="Segoe UI" w:cs="Segoe UI" w:eastAsia="Segoe UI" w:hAnsi="Segoe UI"/>
                <w:b/>
                <w:bCs/>
                <w:color w:val="14202A"/>
                <w:sz w:val="20"/>
                <w:szCs w:val="20"/>
              </w:rPr>
              <w:t xml:space="preserve">Wortbedeutung</w:t>
            </w: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 geht verloren: „Was ist eine Gabel?“ kann nicht mehr beantwortet werden, auch der Gegenstand wird nicht erkannt.</w:t>
            </w:r>
          </w:p>
          <w:p>
            <w:pPr>
              <w:pBdr>
                <w:top w:val="single" w:color="C3CDD2" w:sz="4" w:space="6"/>
              </w:pBdr>
              <w:spacing w:before="40"/>
            </w:pPr>
            <w:r>
              <w:rPr>
                <w:rFonts w:ascii="Consolas" w:cs="Consolas" w:eastAsia="Consolas" w:hAnsi="Consolas"/>
                <w:color w:val="566873"/>
                <w:sz w:val="16"/>
                <w:szCs w:val="16"/>
              </w:rPr>
              <w:t xml:space="preserve">semantische Variante der PPA</w:t>
            </w:r>
          </w:p>
        </w:tc>
        <w:tc>
          <w:tcPr>
            <w:tcW w:type="dxa" w:w="3212"/>
            <w:tcBorders>
              <w:top w:val="single" w:color="16696F" w:sz="24"/>
              <w:left w:val="none" w:color="FFFFFF" w:sz="0"/>
              <w:bottom w:val="none" w:color="FFFFFF" w:sz="0"/>
              <w:right w:val="none" w:color="FFFFFF" w:sz="0"/>
            </w:tcBorders>
            <w:shd w:fill="E7F1F1" w:color="auto" w:val="clear"/>
            <w:tcMar>
              <w:top w:type="dxa" w:w="170"/>
              <w:left w:type="dxa" w:w="190"/>
              <w:bottom w:type="dxa" w:w="190"/>
              <w:right w:type="dxa" w:w="19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caps/>
                <w:color w:val="16696F"/>
                <w:spacing w:val="26"/>
                <w:sz w:val="15"/>
                <w:szCs w:val="15"/>
              </w:rPr>
              <w:t xml:space="preserve">nfvPPA · temporofrontal</w:t>
            </w:r>
          </w:p>
          <w:p>
            <w:pPr>
              <w:spacing w:after="90" w:line="25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21"/>
                <w:szCs w:val="21"/>
              </w:rPr>
              <w:t xml:space="preserve">Nichtflüssige Aphasie</w:t>
            </w:r>
          </w:p>
          <w:p>
            <w:pPr>
              <w:spacing w:after="110"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Mühsames, stockendes, grammatikalisch fehlerhaftes Sprechen bei erhaltenem Wortverständnis. Betroffene wissen, was sie sagen wollen, bekommen es aber nicht heraus.</w:t>
            </w:r>
          </w:p>
          <w:p>
            <w:pPr>
              <w:pBdr>
                <w:top w:val="single" w:color="C3CDD2" w:sz="4" w:space="6"/>
              </w:pBdr>
              <w:spacing w:before="40"/>
            </w:pPr>
            <w:r>
              <w:rPr>
                <w:rFonts w:ascii="Consolas" w:cs="Consolas" w:eastAsia="Consolas" w:hAnsi="Consolas"/>
                <w:color w:val="566873"/>
                <w:sz w:val="16"/>
                <w:szCs w:val="16"/>
              </w:rPr>
              <w:t xml:space="preserve">agrammatische Variante der PPA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3CDD2" w:sz="24"/>
              <w:bottom w:val="none" w:color="FFFFFF" w:sz="0"/>
              <w:right w:val="none" w:color="FFFFFF" w:sz="0"/>
            </w:tcBorders>
            <w:shd w:fill="EFF2F4" w:color="auto" w:val="clear"/>
            <w:tcMar>
              <w:top w:type="dxa" w:w="190"/>
              <w:left w:type="dxa" w:w="260"/>
              <w:bottom w:type="dxa" w:w="190"/>
              <w:right w:type="dxa" w:w="26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4202A"/>
                <w:sz w:val="20"/>
                <w:szCs w:val="20"/>
              </w:rPr>
              <w:t xml:space="preserve">PPA</w:t>
            </w: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 = primär progrediente Aphasie. Bei beiden Sprachvarianten ist die Sprachstörung über mindestens zwei Jahre das </w:t>
            </w:r>
            <w:r>
              <w:rPr>
                <w:rFonts w:ascii="Segoe UI" w:cs="Segoe UI" w:eastAsia="Segoe UI" w:hAnsi="Segoe UI"/>
                <w:i/>
                <w:iCs/>
                <w:color w:val="24333D"/>
                <w:sz w:val="20"/>
                <w:szCs w:val="20"/>
              </w:rPr>
              <w:t xml:space="preserve">einzige</w:t>
            </w: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 führende Symptom — erst danach kommen Verhaltensauffälligkeiten hinzu.</w:t>
            </w:r>
          </w:p>
        </w:tc>
      </w:tr>
    </w:tbl>
    <w:p>
      <w:pPr>
        <w:keepNext/>
        <w:pBdr>
          <w:top w:val="single" w:color="14202A" w:sz="8" w:space="8"/>
        </w:pBdr>
        <w:spacing w:after="60" w:before="4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Leitsymptome</w:t>
      </w:r>
    </w:p>
    <w:p>
      <w:pPr>
        <w:pStyle w:val="Heading1"/>
        <w:keepNext/>
        <w:spacing w:after="180" w:before="0"/>
      </w:pPr>
      <w:r>
        <w:rPr>
          <w:rFonts w:ascii="Georgia" w:cs="Georgia" w:eastAsia="Georgia" w:hAnsi="Georgia"/>
          <w:b/>
          <w:bCs/>
          <w:color w:val="14202A"/>
          <w:sz w:val="34"/>
          <w:szCs w:val="34"/>
        </w:rPr>
        <w:t xml:space="preserve">Die sechs Kernmerkmale der Verhaltensvariante</w:t>
      </w:r>
    </w:p>
    <w:p>
      <w:pPr>
        <w:spacing w:after="140" w:line="276"/>
      </w:pPr>
      <w:r>
        <w:rPr>
          <w:rFonts w:ascii="Segoe UI" w:cs="Segoe UI" w:eastAsia="Segoe UI" w:hAnsi="Segoe UI"/>
          <w:color w:val="24333D"/>
          <w:sz w:val="20"/>
          <w:szCs w:val="20"/>
        </w:rPr>
        <w:t xml:space="preserve">Nach den international gebräuchlichen Diagnosekriterien (Rascovsky et al. 2011) müssen 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mindestens drei dieser sechs Merkmale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 vorliegen und über die Zeit fortschreiten. Genau diese sechs sind die prüfungsrelevante Liste.</w:t>
      </w:r>
    </w:p>
    <w:p>
      <w:pPr>
        <w:spacing w:after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"/>
        <w:gridCol w:w="9018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FFFFFF" w:sz="10"/>
              <w:right w:val="none" w:color="FFFFFF" w:sz="0"/>
            </w:tcBorders>
            <w:shd w:fill="C2571C" w:color="auto" w:val="clear"/>
            <w:tcMar>
              <w:top w:type="dxa" w:w="150"/>
              <w:left w:type="dxa" w:w="0"/>
              <w:bottom w:type="dxa" w:w="1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A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21"/>
                <w:szCs w:val="21"/>
              </w:rPr>
              <w:t xml:space="preserve">Enthemmung</w:t>
            </w:r>
          </w:p>
          <w:p>
            <w:pPr>
              <w:spacing w:line="250"/>
            </w:pPr>
            <w:r>
              <w:rPr>
                <w:rFonts w:ascii="Segoe UI" w:cs="Segoe UI" w:eastAsia="Segoe UI" w:hAnsi="Segoe UI"/>
                <w:color w:val="566873"/>
                <w:sz w:val="20"/>
                <w:szCs w:val="20"/>
              </w:rPr>
              <w:t xml:space="preserve">Sozial unangemessenes Verhalten, Taktlosigkeit, Distanzlosigkeit, Impulskäufe, sexuelle Anzüglichkeiten, Verlust von Anstandsregeln.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FFFFFF" w:sz="10"/>
              <w:right w:val="none" w:color="FFFFFF" w:sz="0"/>
            </w:tcBorders>
            <w:shd w:fill="C2571C" w:color="auto" w:val="clear"/>
            <w:tcMar>
              <w:top w:type="dxa" w:w="150"/>
              <w:left w:type="dxa" w:w="0"/>
              <w:bottom w:type="dxa" w:w="1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B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21"/>
                <w:szCs w:val="21"/>
              </w:rPr>
              <w:t xml:space="preserve">Apathie und Antriebsverlust</w:t>
            </w:r>
          </w:p>
          <w:p>
            <w:pPr>
              <w:spacing w:line="250"/>
            </w:pPr>
            <w:r>
              <w:rPr>
                <w:rFonts w:ascii="Segoe UI" w:cs="Segoe UI" w:eastAsia="Segoe UI" w:hAnsi="Segoe UI"/>
                <w:color w:val="566873"/>
                <w:sz w:val="20"/>
                <w:szCs w:val="20"/>
              </w:rPr>
              <w:t xml:space="preserve">Interessenverlust, Initiativlosigkeit, Rückzug. Wird häufig als Depression fehlgedeutet — es fehlt aber der Leidensdruck.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FFFFFF" w:sz="10"/>
              <w:right w:val="none" w:color="FFFFFF" w:sz="0"/>
            </w:tcBorders>
            <w:shd w:fill="C2571C" w:color="auto" w:val="clear"/>
            <w:tcMar>
              <w:top w:type="dxa" w:w="150"/>
              <w:left w:type="dxa" w:w="0"/>
              <w:bottom w:type="dxa" w:w="1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C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21"/>
                <w:szCs w:val="21"/>
              </w:rPr>
              <w:t xml:space="preserve">Verlust von Empathie</w:t>
            </w:r>
          </w:p>
          <w:p>
            <w:pPr>
              <w:spacing w:line="250"/>
            </w:pPr>
            <w:r>
              <w:rPr>
                <w:rFonts w:ascii="Segoe UI" w:cs="Segoe UI" w:eastAsia="Segoe UI" w:hAnsi="Segoe UI"/>
                <w:color w:val="566873"/>
                <w:sz w:val="20"/>
                <w:szCs w:val="20"/>
              </w:rPr>
              <w:t xml:space="preserve">Gleichgültigkeit gegenüber den Gefühlen anderer, fehlende Wärme, keine Reaktion auf Kummer von Angehörigen. Für Familien am schwersten auszuhalten.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FFFFFF" w:sz="10"/>
              <w:right w:val="none" w:color="FFFFFF" w:sz="0"/>
            </w:tcBorders>
            <w:shd w:fill="C2571C" w:color="auto" w:val="clear"/>
            <w:tcMar>
              <w:top w:type="dxa" w:w="150"/>
              <w:left w:type="dxa" w:w="0"/>
              <w:bottom w:type="dxa" w:w="1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D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21"/>
                <w:szCs w:val="21"/>
              </w:rPr>
              <w:t xml:space="preserve">Stereotypes, zwanghaftes Verhalten</w:t>
            </w:r>
          </w:p>
          <w:p>
            <w:pPr>
              <w:spacing w:line="250"/>
            </w:pPr>
            <w:r>
              <w:rPr>
                <w:rFonts w:ascii="Segoe UI" w:cs="Segoe UI" w:eastAsia="Segoe UI" w:hAnsi="Segoe UI"/>
                <w:color w:val="566873"/>
                <w:sz w:val="20"/>
                <w:szCs w:val="20"/>
              </w:rPr>
              <w:t xml:space="preserve">Rituale, feste Wege und Zeiten, Sammeln, Klopfen, Nesteln, ständiges Wiederholen derselben Sätze (Perseveration).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FFFFFF" w:sz="10"/>
              <w:right w:val="none" w:color="FFFFFF" w:sz="0"/>
            </w:tcBorders>
            <w:shd w:fill="C2571C" w:color="auto" w:val="clear"/>
            <w:tcMar>
              <w:top w:type="dxa" w:w="150"/>
              <w:left w:type="dxa" w:w="0"/>
              <w:bottom w:type="dxa" w:w="1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E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21"/>
                <w:szCs w:val="21"/>
              </w:rPr>
              <w:t xml:space="preserve">Hyperoralität</w:t>
            </w:r>
          </w:p>
          <w:p>
            <w:pPr>
              <w:spacing w:line="250"/>
            </w:pPr>
            <w:r>
              <w:rPr>
                <w:rFonts w:ascii="Segoe UI" w:cs="Segoe UI" w:eastAsia="Segoe UI" w:hAnsi="Segoe UI"/>
                <w:color w:val="566873"/>
                <w:sz w:val="20"/>
                <w:szCs w:val="20"/>
              </w:rPr>
              <w:t xml:space="preserve">Heißhunger, besonders auf Süßes, Essen in großer Menge und Geschwindigkeit, Rauchen und Trinken im Übermaß, orales Erkunden nicht essbarer Dinge.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FFFFFF" w:sz="10"/>
              <w:right w:val="none" w:color="FFFFFF" w:sz="0"/>
            </w:tcBorders>
            <w:shd w:fill="C2571C" w:color="auto" w:val="clear"/>
            <w:tcMar>
              <w:top w:type="dxa" w:w="150"/>
              <w:left w:type="dxa" w:w="0"/>
              <w:bottom w:type="dxa" w:w="1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F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4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21"/>
                <w:szCs w:val="21"/>
              </w:rPr>
              <w:t xml:space="preserve">Exekutive Störungen</w:t>
            </w:r>
          </w:p>
          <w:p>
            <w:pPr>
              <w:spacing w:line="250"/>
            </w:pPr>
            <w:r>
              <w:rPr>
                <w:rFonts w:ascii="Segoe UI" w:cs="Segoe UI" w:eastAsia="Segoe UI" w:hAnsi="Segoe UI"/>
                <w:color w:val="566873"/>
                <w:sz w:val="20"/>
                <w:szCs w:val="20"/>
              </w:rPr>
              <w:t xml:space="preserve">Planen, Organisieren, Umstellen und Problemlösen misslingen — bei zunächst erhaltenem Gedächtnis und erhaltener räumlicher Orientierung.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8182E" w:sz="24"/>
              <w:bottom w:val="none" w:color="FFFFFF" w:sz="0"/>
              <w:right w:val="none" w:color="FFFFFF" w:sz="0"/>
            </w:tcBorders>
            <w:shd w:fill="F9EAED" w:color="auto" w:val="clear"/>
            <w:tcMar>
              <w:top w:type="dxa" w:w="190"/>
              <w:left w:type="dxa" w:w="260"/>
              <w:bottom w:type="dxa" w:w="190"/>
              <w:right w:type="dxa" w:w="26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caps/>
                <w:color w:val="98182E"/>
                <w:spacing w:val="26"/>
                <w:sz w:val="15"/>
                <w:szCs w:val="15"/>
              </w:rPr>
              <w:t xml:space="preserve">Achtung · typische Falle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Die Betroffenen haben </w:t>
            </w:r>
            <w:r>
              <w:rPr>
                <w:rFonts w:ascii="Segoe UI" w:cs="Segoe UI" w:eastAsia="Segoe UI" w:hAnsi="Segoe UI"/>
                <w:b/>
                <w:bCs/>
                <w:color w:val="14202A"/>
                <w:sz w:val="20"/>
                <w:szCs w:val="20"/>
              </w:rPr>
              <w:t xml:space="preserve">keine Krankheitseinsicht</w:t>
            </w: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. Sie schildern selbst keine Beschwerden und wirken im Gespräch oft erstaunlich unauffällig. Ohne </w:t>
            </w:r>
            <w:r>
              <w:rPr>
                <w:rFonts w:ascii="Segoe UI" w:cs="Segoe UI" w:eastAsia="Segoe UI" w:hAnsi="Segoe UI"/>
                <w:b/>
                <w:bCs/>
                <w:color w:val="14202A"/>
                <w:sz w:val="20"/>
                <w:szCs w:val="20"/>
              </w:rPr>
              <w:t xml:space="preserve">Fremdanamnese durch Angehörige</w:t>
            </w: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 wird die FTD regelmäßig übersehen oder als Depression, Manie, Burnout oder „Midlife-Crisis“ fehlgedeutet — bis zur richtigen Diagnose vergehen häufig mehrere Jahre.</w:t>
            </w:r>
          </w:p>
        </w:tc>
      </w:tr>
    </w:tbl>
    <w:p>
      <w:pPr>
        <w:keepNext/>
        <w:pBdr>
          <w:top w:val="single" w:color="14202A" w:sz="8" w:space="8"/>
        </w:pBdr>
        <w:spacing w:after="60" w:before="4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Differenzialdiagnose</w:t>
      </w:r>
    </w:p>
    <w:p>
      <w:pPr>
        <w:pStyle w:val="Heading1"/>
        <w:keepNext/>
        <w:spacing w:after="180" w:before="0"/>
      </w:pPr>
      <w:r>
        <w:rPr>
          <w:rFonts w:ascii="Georgia" w:cs="Georgia" w:eastAsia="Georgia" w:hAnsi="Georgia"/>
          <w:b/>
          <w:bCs/>
          <w:color w:val="14202A"/>
          <w:sz w:val="34"/>
          <w:szCs w:val="34"/>
        </w:rPr>
        <w:t xml:space="preserve">FTD gegen Alzheimer-Demenz abgrenzen</w:t>
      </w:r>
    </w:p>
    <w:p>
      <w:pPr>
        <w:spacing w:after="140" w:line="276"/>
      </w:pPr>
      <w:r>
        <w:rPr>
          <w:rFonts w:ascii="Segoe UI" w:cs="Segoe UI" w:eastAsia="Segoe UI" w:hAnsi="Segoe UI"/>
          <w:color w:val="24333D"/>
          <w:sz w:val="20"/>
          <w:szCs w:val="20"/>
        </w:rPr>
        <w:t xml:space="preserve">Diese Gegenüberstellung ist der Kern jeder Prüfungsfrage zum Thema. Merkhilfe: Alzheimer nimmt zuerst das </w:t>
      </w:r>
      <w:r>
        <w:rPr>
          <w:rFonts w:ascii="Segoe UI" w:cs="Segoe UI" w:eastAsia="Segoe UI" w:hAnsi="Segoe UI"/>
          <w:b/>
          <w:bCs/>
          <w:i/>
          <w:iCs/>
          <w:color w:val="14202A"/>
          <w:sz w:val="20"/>
          <w:szCs w:val="20"/>
        </w:rPr>
        <w:t xml:space="preserve">Wissen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, die FTD zuerst das </w:t>
      </w:r>
      <w:r>
        <w:rPr>
          <w:rFonts w:ascii="Segoe UI" w:cs="Segoe UI" w:eastAsia="Segoe UI" w:hAnsi="Segoe UI"/>
          <w:b/>
          <w:bCs/>
          <w:i/>
          <w:iCs/>
          <w:color w:val="14202A"/>
          <w:sz w:val="20"/>
          <w:szCs w:val="20"/>
        </w:rPr>
        <w:t xml:space="preserve">Wesen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.</w:t>
      </w:r>
    </w:p>
    <w:p>
      <w:pPr>
        <w:spacing w:after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50"/>
        <w:gridCol w:w="3794"/>
        <w:gridCol w:w="3794"/>
      </w:tblGrid>
      <w:tr>
        <w:trPr>
          <w:cantSplit/>
          <w:tblHeader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14202A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bottom"/>
          </w:tcPr>
          <w:p>
            <w:pPr>
              <w:spacing w:line="2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14202A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bottom"/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aps/>
                <w:color w:val="E8925A"/>
                <w:spacing w:val="26"/>
                <w:sz w:val="15"/>
                <w:szCs w:val="15"/>
              </w:rPr>
              <w:t xml:space="preserve">Wesen zuerst</w:t>
            </w:r>
          </w:p>
          <w:p>
            <w:pPr>
              <w:spacing w:line="2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Frontotemporale Demenz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02A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bottom"/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caps/>
                <w:color w:val="AFBDC5"/>
                <w:spacing w:val="26"/>
                <w:sz w:val="15"/>
                <w:szCs w:val="15"/>
              </w:rPr>
              <w:t xml:space="preserve">Wissen zuerst</w:t>
            </w:r>
          </w:p>
          <w:p>
            <w:pPr>
              <w:spacing w:line="2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Alzheimer-Demenz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566873"/>
                <w:sz w:val="16"/>
                <w:szCs w:val="16"/>
              </w:rPr>
              <w:t xml:space="preserve">Erkrankungsalter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meist 50–60 Jahre, oft mitten im Berufsleben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überwiegend nach dem 65. Lebensjahr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566873"/>
                <w:sz w:val="16"/>
                <w:szCs w:val="16"/>
              </w:rPr>
              <w:t xml:space="preserve">Erstsymptom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Persönlichkeits- und Verhaltensänderung oder Sprachstörung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schleichende Vergesslichkeit für Neues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566873"/>
                <w:sz w:val="16"/>
                <w:szCs w:val="16"/>
              </w:rPr>
              <w:t xml:space="preserve">Gedächtnis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lange weitgehend erhalten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früh und führend gestört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566873"/>
                <w:sz w:val="16"/>
                <w:szCs w:val="16"/>
              </w:rPr>
              <w:t xml:space="preserve">Orientierung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zeitlich und örtlich lange erhalten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früh gestört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566873"/>
                <w:sz w:val="16"/>
                <w:szCs w:val="16"/>
              </w:rPr>
              <w:t xml:space="preserve">Krankheitseinsicht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fehlt von Beginn an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anfangs vorhanden, oft mit depressiver Reaktion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566873"/>
                <w:sz w:val="16"/>
                <w:szCs w:val="16"/>
              </w:rPr>
              <w:t xml:space="preserve">Sozialverhalten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früh und massiv verändert (Enthemmung, Empathieverlust)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lange erhalten, die Fassade bleibt bestehen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566873"/>
                <w:sz w:val="16"/>
                <w:szCs w:val="16"/>
              </w:rPr>
              <w:t xml:space="preserve">Atrophiemuster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frontal und temporal umschrieben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temporoparietal, besonders Hippocampus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566873"/>
                <w:sz w:val="16"/>
                <w:szCs w:val="16"/>
              </w:rPr>
              <w:t xml:space="preserve">MMST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lange unauffällig — zum Screening ungeeignet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früh auffällig, gut screeningtauglich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566873"/>
                <w:sz w:val="16"/>
                <w:szCs w:val="16"/>
              </w:rPr>
              <w:t xml:space="preserve">Liquor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Beta-Amyloid und Tau meist unauffällig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EFF2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Beta-Amyloid 42 erniedrigt, Tau erhöht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566873"/>
                <w:sz w:val="16"/>
                <w:szCs w:val="16"/>
              </w:rPr>
              <w:t xml:space="preserve">Antidementiva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nicht wirksam, nicht empfohlen</w:t>
            </w:r>
          </w:p>
        </w:tc>
        <w:tc>
          <w:tcPr>
            <w:tcW w:type="dxa" w:w="3794"/>
            <w:tcBorders>
              <w:top w:val="none" w:color="FFFFFF" w:sz="0"/>
              <w:left w:val="none" w:color="FFFFFF" w:sz="0"/>
              <w:bottom w:val="single" w:color="DDE3E6" w:sz="4"/>
              <w:right w:val="none" w:color="FFFFFF" w:sz="0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AChE-Hemmer bzw. Memantin je nach Stadium</w:t>
            </w:r>
          </w:p>
        </w:tc>
      </w:tr>
    </w:tbl>
    <w:p>
      <w:pPr>
        <w:keepNext/>
        <w:pBdr>
          <w:top w:val="single" w:color="14202A" w:sz="8" w:space="8"/>
        </w:pBdr>
        <w:spacing w:after="60" w:before="4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Diagnostik</w:t>
      </w:r>
    </w:p>
    <w:p>
      <w:pPr>
        <w:pStyle w:val="Heading1"/>
        <w:keepNext/>
        <w:spacing w:after="180" w:before="0"/>
      </w:pPr>
      <w:r>
        <w:rPr>
          <w:rFonts w:ascii="Georgia" w:cs="Georgia" w:eastAsia="Georgia" w:hAnsi="Georgia"/>
          <w:b/>
          <w:bCs/>
          <w:color w:val="14202A"/>
          <w:sz w:val="34"/>
          <w:szCs w:val="34"/>
        </w:rPr>
        <w:t xml:space="preserve">Wie die Diagnose gesichert wird</w:t>
      </w:r>
    </w:p>
    <w:p>
      <w:pPr>
        <w:keepNext/>
        <w:spacing w:after="100" w:before="2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Basis   </w:t>
      </w:r>
      <w:r>
        <w:rPr>
          <w:rFonts w:ascii="Georgia" w:cs="Georgia" w:eastAsia="Georgia" w:hAnsi="Georgia"/>
          <w:b/>
          <w:bCs/>
          <w:color w:val="14202A"/>
          <w:sz w:val="23"/>
          <w:szCs w:val="23"/>
        </w:rPr>
        <w:t xml:space="preserve">Anamnese und Fremdanamnese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Die Fremdanamnese ist das wichtigste Instrument.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Angehörige beschreiben den Wandel („Er ist nicht mehr derselbe Mensch“), der Betroffene selbst nicht.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Gezielt fragen nach: Taktlosigkeiten, Rückzug, neuen Ritualen, Heißhunger auf Süßes, Fehlern am Arbeitsplatz, Verkehrsverstößen, finanziellen Fehlentscheidungen.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Zeitlicher Verlauf: schleichender Beginn, stetige Verschlechterung über Monate bis Jahre.</w:t>
      </w:r>
    </w:p>
    <w:p>
      <w:pPr>
        <w:keepNext/>
        <w:spacing w:after="100" w:before="2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Testung   </w:t>
      </w:r>
      <w:r>
        <w:rPr>
          <w:rFonts w:ascii="Georgia" w:cs="Georgia" w:eastAsia="Georgia" w:hAnsi="Georgia"/>
          <w:b/>
          <w:bCs/>
          <w:color w:val="14202A"/>
          <w:sz w:val="23"/>
          <w:szCs w:val="23"/>
        </w:rPr>
        <w:t xml:space="preserve">Neuropsychologie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MMST und Uhren-Zeichen-Test reichen nicht.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Sie prüfen vor allem Gedächtnis und Visuokonstruktion — also genau das, was bei der FTD lange intakt bleibt.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Geeignet sind Tests der Frontalhirnfunktion, z. B. die 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FAB (Frontal Assessment Battery)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, Wortflüssigkeits-, Stroop- und Trail-Making-Aufgaben.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Bei Sprachvarianten zusätzlich logopädische Sprachdiagnostik: Benennen, Wortverständnis, Grammatik.</w:t>
      </w:r>
    </w:p>
    <w:p>
      <w:pPr>
        <w:keepNext/>
        <w:spacing w:after="100" w:before="2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Apparativ   </w:t>
      </w:r>
      <w:r>
        <w:rPr>
          <w:rFonts w:ascii="Georgia" w:cs="Georgia" w:eastAsia="Georgia" w:hAnsi="Georgia"/>
          <w:b/>
          <w:bCs/>
          <w:color w:val="14202A"/>
          <w:sz w:val="23"/>
          <w:szCs w:val="23"/>
        </w:rPr>
        <w:t xml:space="preserve">Bildgebung und Labor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MRT: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frontal und temporal betonte Atrophie, häufig seitenbetont.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FDG-PET: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verminderter Zuckerstoffwechsel frontotemporal — oft schon auffällig, bevor die Atrophie im MRT sichtbar ist.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Liquordiagnostik: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dient primär dem Ausschluss einer Alzheimer-Demenz und entzündlicher Ursachen.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Labor: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Ausschluss behandelbarer Ursachen — Schilddrüse, Vitamin B12 und Folsäure, Elektrolyte, Leber- und Nierenwerte, Entzündungsparameter.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Humangenetische Beratung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bei positiver Familienanamnese, stets nur mit Aufklärung und Einwilligung.</w:t>
      </w:r>
    </w:p>
    <w:p>
      <w:pPr>
        <w:spacing w:after="2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8182E" w:sz="24"/>
              <w:bottom w:val="none" w:color="FFFFFF" w:sz="0"/>
              <w:right w:val="none" w:color="FFFFFF" w:sz="0"/>
            </w:tcBorders>
            <w:shd w:fill="F9EAED" w:color="auto" w:val="clear"/>
            <w:tcMar>
              <w:top w:type="dxa" w:w="190"/>
              <w:left w:type="dxa" w:w="260"/>
              <w:bottom w:type="dxa" w:w="190"/>
              <w:right w:type="dxa" w:w="26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caps/>
                <w:color w:val="98182E"/>
                <w:spacing w:val="26"/>
                <w:sz w:val="15"/>
                <w:szCs w:val="15"/>
              </w:rPr>
              <w:t xml:space="preserve">Immer ausschließen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Vor der Diagnose FTD sind </w:t>
            </w:r>
            <w:r>
              <w:rPr>
                <w:rFonts w:ascii="Segoe UI" w:cs="Segoe UI" w:eastAsia="Segoe UI" w:hAnsi="Segoe UI"/>
                <w:b/>
                <w:bCs/>
                <w:color w:val="14202A"/>
                <w:sz w:val="20"/>
                <w:szCs w:val="20"/>
              </w:rPr>
              <w:t xml:space="preserve">Delir, Depression, bipolare Störung, Schizophrenie und Suchterkrankungen</w:t>
            </w: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 abzugrenzen. Umgekehrt gilt: Erhält ein Mensch um die 55 erstmals im Leben eine psychiatrische Diagnose und verhält sich zunehmend sozial unangemessen, gehört die FTD in die Differenzialdiagnose.</w:t>
            </w:r>
          </w:p>
        </w:tc>
      </w:tr>
    </w:tbl>
    <w:p>
      <w:pPr>
        <w:keepNext/>
        <w:pBdr>
          <w:top w:val="single" w:color="14202A" w:sz="8" w:space="8"/>
        </w:pBdr>
        <w:spacing w:after="60" w:before="4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Therapie</w:t>
      </w:r>
    </w:p>
    <w:p>
      <w:pPr>
        <w:pStyle w:val="Heading1"/>
        <w:keepNext/>
        <w:spacing w:after="180" w:before="0"/>
      </w:pPr>
      <w:r>
        <w:rPr>
          <w:rFonts w:ascii="Georgia" w:cs="Georgia" w:eastAsia="Georgia" w:hAnsi="Georgia"/>
          <w:b/>
          <w:bCs/>
          <w:color w:val="14202A"/>
          <w:sz w:val="34"/>
          <w:szCs w:val="34"/>
        </w:rPr>
        <w:t xml:space="preserve">Behandelbar sind die Symptome, nicht die Ursache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8182E" w:sz="24"/>
              <w:bottom w:val="none" w:color="FFFFFF" w:sz="0"/>
              <w:right w:val="none" w:color="FFFFFF" w:sz="0"/>
            </w:tcBorders>
            <w:shd w:fill="F9EAED" w:color="auto" w:val="clear"/>
            <w:tcMar>
              <w:top w:type="dxa" w:w="190"/>
              <w:left w:type="dxa" w:w="260"/>
              <w:bottom w:type="dxa" w:w="190"/>
              <w:right w:type="dxa" w:w="26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caps/>
                <w:color w:val="98182E"/>
                <w:spacing w:val="26"/>
                <w:sz w:val="15"/>
                <w:szCs w:val="15"/>
              </w:rPr>
              <w:t xml:space="preserve">Kontraindikation · hoch prüfungsrelevant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4202A"/>
                <w:sz w:val="20"/>
                <w:szCs w:val="20"/>
              </w:rPr>
              <w:t xml:space="preserve">Acetylcholinesterasehemmer (Donepezil, Rivastigmin, Galantamin) und Memantin sind bei der FTD nicht wirksam und werden nicht empfohlen.</w:t>
            </w: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 Sie können Verhaltenssymptome sogar verstärken. Was bei Alzheimer richtig ist, ist hier falsch — deshalb muss die Demenzform benannt sein, nicht nur „Demenz“.</w:t>
            </w:r>
          </w:p>
        </w:tc>
      </w:tr>
    </w:tbl>
    <w:p>
      <w:pPr>
        <w:keepNext/>
        <w:spacing w:after="100" w:before="2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Medikamentös   </w:t>
      </w:r>
      <w:r>
        <w:rPr>
          <w:rFonts w:ascii="Georgia" w:cs="Georgia" w:eastAsia="Georgia" w:hAnsi="Georgia"/>
          <w:b/>
          <w:bCs/>
          <w:color w:val="14202A"/>
          <w:sz w:val="23"/>
          <w:szCs w:val="23"/>
        </w:rPr>
        <w:t xml:space="preserve">Zurückhaltend und symptomorientiert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SSRI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(z. B. Citalopram, Sertralin) oder Trazodon können Enthemmung, Zwangsverhalten, Reizbarkeit und Hyperoralität abmildern.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Antipsychotika nur als letzte Option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, niedrig dosiert und zeitlich befristet: FTD-Betroffene reagieren besonders empfindlich mit extrapyramidalmotorischen Nebenwirkungen.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Keine Dauerverordnung ohne regelmäßige Überprüfung von Indikation, Wirkung und Nebenwirkungen.</w:t>
      </w:r>
    </w:p>
    <w:p>
      <w:pPr>
        <w:keepNext/>
        <w:spacing w:after="100" w:before="2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Nicht medikamentös   </w:t>
      </w:r>
      <w:r>
        <w:rPr>
          <w:rFonts w:ascii="Georgia" w:cs="Georgia" w:eastAsia="Georgia" w:hAnsi="Georgia"/>
          <w:b/>
          <w:bCs/>
          <w:color w:val="14202A"/>
          <w:sz w:val="23"/>
          <w:szCs w:val="23"/>
        </w:rPr>
        <w:t xml:space="preserve">Das ist die eigentliche Therapie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Logopädie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bei beiden Sprachvarianten: Erhalt der Kommunikation, frühzeitige Einführung unterstützter Kommunikation (Bildkarten, Symboltafeln), später Dysphagiemanagement.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Ergotherapie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zur Alltagsstrukturierung und zum Erhalt von Handlungsabläufen.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Physiotherapie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zum Erhalt von Mobilität und Gleichgewicht, besonders bei Parkinson-Überlappung.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Verhaltensmanagement: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Auslöser identifizieren, Umgebung anpassen, Reize reduzieren — wirksamer als jedes Medikament.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Angehörigenschulung und Selbsthilfe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von Anfang an, nicht erst in der Krise.</w:t>
      </w:r>
    </w:p>
    <w:p>
      <w:pPr>
        <w:keepNext/>
        <w:pBdr>
          <w:top w:val="single" w:color="14202A" w:sz="8" w:space="8"/>
        </w:pBdr>
        <w:spacing w:after="60" w:before="4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Pflege</w:t>
      </w:r>
    </w:p>
    <w:p>
      <w:pPr>
        <w:pStyle w:val="Heading1"/>
        <w:keepNext/>
        <w:spacing w:after="180" w:before="0"/>
      </w:pPr>
      <w:r>
        <w:rPr>
          <w:rFonts w:ascii="Georgia" w:cs="Georgia" w:eastAsia="Georgia" w:hAnsi="Georgia"/>
          <w:b/>
          <w:bCs/>
          <w:color w:val="14202A"/>
          <w:sz w:val="34"/>
          <w:szCs w:val="34"/>
        </w:rPr>
        <w:t xml:space="preserve">Pflegerische Schwerpunkte</w:t>
      </w:r>
    </w:p>
    <w:p>
      <w:pPr>
        <w:spacing w:after="140" w:line="276"/>
      </w:pPr>
      <w:r>
        <w:rPr>
          <w:rFonts w:ascii="Segoe UI" w:cs="Segoe UI" w:eastAsia="Segoe UI" w:hAnsi="Segoe UI"/>
          <w:color w:val="24333D"/>
          <w:sz w:val="20"/>
          <w:szCs w:val="20"/>
        </w:rPr>
        <w:t xml:space="preserve">Der pflegerische Grundsatz lautet: 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nicht konfrontieren, sondern umlenken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. Ermahnen, Diskutieren und Appelle an die Einsicht scheitern zwangsläufig, weil genau die Hirnregion ausgefallen ist, an die appelliert wird.</w:t>
      </w:r>
    </w:p>
    <w:p>
      <w:pPr>
        <w:keepNext/>
        <w:spacing w:after="100" w:before="2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Kommunikation   </w:t>
      </w:r>
      <w:r>
        <w:rPr>
          <w:rFonts w:ascii="Georgia" w:cs="Georgia" w:eastAsia="Georgia" w:hAnsi="Georgia"/>
          <w:b/>
          <w:bCs/>
          <w:color w:val="14202A"/>
          <w:sz w:val="23"/>
          <w:szCs w:val="23"/>
        </w:rPr>
        <w:t xml:space="preserve">Klar, kurz, wertfrei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Kurze, eindeutige Sätze; 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eine Aufforderung nach der anderen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, nicht mehrere gleichzeitig.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Nicht moralisieren, nicht beschämen, keine Schuldzuweisung. Das Verhalten ist Symptom, nicht Absicht.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Bei Enthemmung: ruhig bleiben, Situation entschärfen, ablenken — ein bekanntes Ritual, ein Getränk, ein Ortswechsel.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Auf eigene Mimik, Gestik und Körperhaltung achten; sie müssen zum Gesagten passen.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Bei Sprachvarianten frühzeitig auf nonverbale Wege umstellen und Zeit zum Antworten lassen.</w:t>
      </w:r>
    </w:p>
    <w:p>
      <w:pPr>
        <w:keepNext/>
        <w:spacing w:after="100" w:before="2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Umgebung   </w:t>
      </w:r>
      <w:r>
        <w:rPr>
          <w:rFonts w:ascii="Georgia" w:cs="Georgia" w:eastAsia="Georgia" w:hAnsi="Georgia"/>
          <w:b/>
          <w:bCs/>
          <w:color w:val="14202A"/>
          <w:sz w:val="23"/>
          <w:szCs w:val="23"/>
        </w:rPr>
        <w:t xml:space="preserve">Struktur statt Diskussion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Feste Tagesstruktur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mit immer gleichen Zeiten und Abläufen; Rituale nutzen, statt sie zu bekämpfen.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Möglichst 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konstante Bezugspflegende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; häufiger Wechsel der Ansprechpartner ist zu vermeiden.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Reizarme Umgebung: Lärm, Trubel und Unterbrechungen reduzieren.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Auslöser problematischen Verhaltens dokumentieren (Verhaltensprotokoll: Was war vorher? Wer war da? Wann?) und gezielt ausschalten.</w:t>
      </w:r>
    </w:p>
    <w:p>
      <w:pPr>
        <w:keepNext/>
        <w:spacing w:after="100" w:before="2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Ernährung   </w:t>
      </w:r>
      <w:r>
        <w:rPr>
          <w:rFonts w:ascii="Georgia" w:cs="Georgia" w:eastAsia="Georgia" w:hAnsi="Georgia"/>
          <w:b/>
          <w:bCs/>
          <w:color w:val="14202A"/>
          <w:sz w:val="23"/>
          <w:szCs w:val="23"/>
        </w:rPr>
        <w:t xml:space="preserve">Hyperoralität als Risiko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Erstickungs- und Aspirationsgefahr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durch zu große, zu hastig geschluckte Bissen — kleine Portionen anreichen, Tempo begleiten, beim Essen nicht allein lassen.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Vorräte, Süßigkeiten und nicht essbare Dinge (Reinigungsmittel, Zimmerpflanzen, Zigaretten) sicher verwahren.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Regelmäßige 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Gewichtskontrolle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; Gewichtszunahme und Stoffwechselfolgen im Blick behalten.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Im Verlauf Umschlag in Dysphagie und Gewichtsverlust — dann Kostformanpassung, Logopädie und Aspirationsprophylaxe.</w:t>
      </w:r>
    </w:p>
    <w:p>
      <w:pPr>
        <w:keepNext/>
        <w:spacing w:after="100" w:before="2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Sicherheit   </w:t>
      </w:r>
      <w:r>
        <w:rPr>
          <w:rFonts w:ascii="Georgia" w:cs="Georgia" w:eastAsia="Georgia" w:hAnsi="Georgia"/>
          <w:b/>
          <w:bCs/>
          <w:color w:val="14202A"/>
          <w:sz w:val="23"/>
          <w:szCs w:val="23"/>
        </w:rPr>
        <w:t xml:space="preserve">Fehlende Einsicht schützt nicht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Selbst- und Fremdgefährdung durch Impulsivität, fehlende Gefahreneinschätzung und Weglauftendenz beachten.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Fahreignung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und Umgang mit Geld frühzeitig ansprechen — Verkehrsunfälle und finanzielle Schäden sind häufige Erstereignisse.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Intimsphäre und Würde schützen, wenn distanzloses Verhalten andere Betroffene oder Besucher berührt; betroffene Dritte einfühlsam informieren.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Freiheitsentziehende Maßnahmen sind letztes Mittel und nur mit richterlicher Genehmigung zulässig; vorher immer Alternativen ausschöpfen.</w:t>
      </w:r>
    </w:p>
    <w:p>
      <w:pPr>
        <w:keepNext/>
        <w:spacing w:after="100" w:before="2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Spätstadium   </w:t>
      </w:r>
      <w:r>
        <w:rPr>
          <w:rFonts w:ascii="Georgia" w:cs="Georgia" w:eastAsia="Georgia" w:hAnsi="Georgia"/>
          <w:b/>
          <w:bCs/>
          <w:color w:val="14202A"/>
          <w:sz w:val="23"/>
          <w:szCs w:val="23"/>
        </w:rPr>
        <w:t xml:space="preserve">Vom Verhalten zur Grundpflege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Zunehmend Mutismus, Dysphagie, Inkontinenz, Rigor und Immobilität — der Pflegebedarf gleicht sich anderen Demenzen an.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Konsequente 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Prophylaxen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: Aspiration, Pneumonie, Dekubitus, Kontraktur, Thrombose, Obstipation, Soor und Parotitis.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Aktivierende Pflege so lange wie möglich: nur so viel Unterstützung geben wie nötig, Handlungsschritte anleiten statt abnehmen.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Frühzeitig 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palliative Versorgung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 und Vorausplanung einbeziehen, solange Wünsche noch geäußert werden können.</w:t>
      </w:r>
    </w:p>
    <w:p>
      <w:pPr>
        <w:keepNext/>
        <w:pBdr>
          <w:top w:val="single" w:color="14202A" w:sz="8" w:space="8"/>
        </w:pBdr>
        <w:spacing w:after="60" w:before="4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Angehörige und Recht</w:t>
      </w:r>
    </w:p>
    <w:p>
      <w:pPr>
        <w:pStyle w:val="Heading1"/>
        <w:keepNext/>
        <w:spacing w:after="180" w:before="0"/>
      </w:pPr>
      <w:r>
        <w:rPr>
          <w:rFonts w:ascii="Georgia" w:cs="Georgia" w:eastAsia="Georgia" w:hAnsi="Georgia"/>
          <w:b/>
          <w:bCs/>
          <w:color w:val="14202A"/>
          <w:sz w:val="34"/>
          <w:szCs w:val="34"/>
        </w:rPr>
        <w:t xml:space="preserve">Warum die Belastung hier besonders hoch ist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14202A" w:sz="24"/>
              <w:left w:val="none" w:color="FFFFFF" w:sz="0"/>
              <w:bottom w:val="none" w:color="FFFFFF" w:sz="0"/>
              <w:right w:val="single" w:color="FFFFFF" w:sz="8"/>
            </w:tcBorders>
            <w:shd w:fill="EFF2F4" w:color="auto" w:val="clear"/>
            <w:tcMar>
              <w:top w:type="dxa" w:w="170"/>
              <w:left w:type="dxa" w:w="190"/>
              <w:bottom w:type="dxa" w:w="190"/>
              <w:right w:type="dxa" w:w="19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caps/>
                <w:color w:val="14202A"/>
                <w:spacing w:val="26"/>
                <w:sz w:val="15"/>
                <w:szCs w:val="15"/>
              </w:rPr>
              <w:t xml:space="preserve">Lebensphase</w:t>
            </w:r>
          </w:p>
          <w:p>
            <w:pPr>
              <w:spacing w:after="90" w:line="25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21"/>
                <w:szCs w:val="21"/>
              </w:rPr>
              <w:t xml:space="preserve">Mitten im Leben</w:t>
            </w:r>
          </w:p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Betroffene sind oft berufstätig und haben minderjährige Kinder. Es drohen Arbeitsplatzverlust, Einkommenseinbruch und Schulden durch enthemmte Ausgaben.</w:t>
            </w:r>
          </w:p>
        </w:tc>
        <w:tc>
          <w:tcPr>
            <w:tcW w:type="dxa" w:w="3212"/>
            <w:tcBorders>
              <w:top w:val="single" w:color="14202A" w:sz="24"/>
              <w:left w:val="none" w:color="FFFFFF" w:sz="0"/>
              <w:bottom w:val="none" w:color="FFFFFF" w:sz="0"/>
              <w:right w:val="single" w:color="FFFFFF" w:sz="8"/>
            </w:tcBorders>
            <w:shd w:fill="EFF2F4" w:color="auto" w:val="clear"/>
            <w:tcMar>
              <w:top w:type="dxa" w:w="170"/>
              <w:left w:type="dxa" w:w="190"/>
              <w:bottom w:type="dxa" w:w="190"/>
              <w:right w:type="dxa" w:w="19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caps/>
                <w:color w:val="14202A"/>
                <w:spacing w:val="26"/>
                <w:sz w:val="15"/>
                <w:szCs w:val="15"/>
              </w:rPr>
              <w:t xml:space="preserve">Emotion</w:t>
            </w:r>
          </w:p>
          <w:p>
            <w:pPr>
              <w:spacing w:after="90" w:line="25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21"/>
                <w:szCs w:val="21"/>
              </w:rPr>
              <w:t xml:space="preserve">Trauer um einen Lebenden</w:t>
            </w:r>
          </w:p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Der Mensch ist da, aber sein Wesen ist fremd geworden. Empathieverlust wird als persönliche Zurückweisung erlebt — das erklärt Wut und Schuldgefühle.</w:t>
            </w:r>
          </w:p>
        </w:tc>
        <w:tc>
          <w:tcPr>
            <w:tcW w:type="dxa" w:w="3212"/>
            <w:tcBorders>
              <w:top w:val="single" w:color="14202A" w:sz="24"/>
              <w:left w:val="none" w:color="FFFFFF" w:sz="0"/>
              <w:bottom w:val="none" w:color="FFFFFF" w:sz="0"/>
              <w:right w:val="none" w:color="FFFFFF" w:sz="0"/>
            </w:tcBorders>
            <w:shd w:fill="EFF2F4" w:color="auto" w:val="clear"/>
            <w:tcMar>
              <w:top w:type="dxa" w:w="170"/>
              <w:left w:type="dxa" w:w="190"/>
              <w:bottom w:type="dxa" w:w="190"/>
              <w:right w:type="dxa" w:w="19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caps/>
                <w:color w:val="14202A"/>
                <w:spacing w:val="26"/>
                <w:sz w:val="15"/>
                <w:szCs w:val="15"/>
              </w:rPr>
              <w:t xml:space="preserve">Weg zur Diagnose</w:t>
            </w:r>
          </w:p>
          <w:p>
            <w:pPr>
              <w:spacing w:after="90" w:line="250"/>
            </w:pPr>
            <w:r>
              <w:rPr>
                <w:rFonts w:ascii="Georgia" w:cs="Georgia" w:eastAsia="Georgia" w:hAnsi="Georgia"/>
                <w:b/>
                <w:bCs/>
                <w:color w:val="14202A"/>
                <w:sz w:val="21"/>
                <w:szCs w:val="21"/>
              </w:rPr>
              <w:t xml:space="preserve">Jahre der Fehldeutung</w:t>
            </w:r>
          </w:p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24333D"/>
                <w:sz w:val="20"/>
                <w:szCs w:val="20"/>
              </w:rPr>
              <w:t xml:space="preserve">Vorher stehen oft Paarkonflikte, psychiatrische Fehldiagnosen und Vorwürfe. Die Diagnose bringt Entlastung und Erschütterung zugleich.</w:t>
            </w:r>
          </w:p>
        </w:tc>
      </w:tr>
    </w:tbl>
    <w:p>
      <w:pPr>
        <w:keepNext/>
        <w:spacing w:after="100" w:before="2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Konkret   </w:t>
      </w:r>
      <w:r>
        <w:rPr>
          <w:rFonts w:ascii="Georgia" w:cs="Georgia" w:eastAsia="Georgia" w:hAnsi="Georgia"/>
          <w:b/>
          <w:bCs/>
          <w:color w:val="14202A"/>
          <w:sz w:val="23"/>
          <w:szCs w:val="23"/>
        </w:rPr>
        <w:t xml:space="preserve">Was Pflegende anstoßen sollten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Frühzeitig Vorsorgevollmacht, Betreuungs- und Patientenverfügung 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anregen, solange Geschäftsfähigkeit besteht. Bei fehlender Vollmacht rechtliche Betreuung über das Betreuungsgericht.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Beratung zu 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Pflegegrad, Entlastungsbetrag, Verhinderungs- und Tagespflege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; Antragstellung aktiv unterstützen.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Auf spezialisierte </w:t>
      </w:r>
      <w:r>
        <w:rPr>
          <w:rFonts w:ascii="Segoe UI" w:cs="Segoe UI" w:eastAsia="Segoe UI" w:hAnsi="Segoe UI"/>
          <w:b/>
          <w:bCs/>
          <w:color w:val="14202A"/>
          <w:sz w:val="20"/>
          <w:szCs w:val="20"/>
        </w:rPr>
        <w:t xml:space="preserve">Selbsthilfegruppen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 hinweisen — Angebote für ältere Demenzkranke passen selten zu einer 55-jährigen Familie.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Kinder und Jugendliche einbeziehen und altersgerecht aufklären; sie werden regelmäßig übersehen.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Belastung der Hauptpflegeperson regelmäßig erfragen und dokumentieren — Erschöpfung ist hier die Regel, nicht die Ausnahme.</w:t>
      </w:r>
    </w:p>
    <w:p>
      <w:pPr>
        <w:spacing w:after="4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02A" w:color="auto" w:val="clear"/>
            <w:tcMar>
              <w:top w:type="dxa" w:w="420"/>
              <w:left w:type="dxa" w:w="400"/>
              <w:bottom w:type="dxa" w:w="420"/>
              <w:right w:type="dxa" w:w="4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aps/>
                <w:color w:val="AFBDC5"/>
                <w:spacing w:val="26"/>
                <w:sz w:val="15"/>
                <w:szCs w:val="15"/>
              </w:rPr>
              <w:t xml:space="preserve">Prüfungswissen</w:t>
            </w:r>
          </w:p>
          <w:p>
            <w:pPr>
              <w:spacing w:after="30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Sechs Fragen, sechs Antworten</w:t>
            </w:r>
          </w:p>
          <w:p>
            <w:pPr>
              <w:keepNext/>
              <w:pBdr>
                <w:top w:val="single" w:color="3A4B57" w:sz="4" w:space="10"/>
              </w:pBdr>
              <w:spacing w:after="60" w:line="260"/>
            </w:pPr>
            <w:r>
              <w:rPr>
                <w:rFonts w:ascii="Consolas" w:cs="Consolas" w:eastAsia="Consolas" w:hAnsi="Consolas"/>
                <w:color w:val="E8925A"/>
                <w:sz w:val="16"/>
                <w:szCs w:val="16"/>
              </w:rPr>
              <w:t xml:space="preserve">01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1"/>
                <w:szCs w:val="21"/>
              </w:rPr>
              <w:t xml:space="preserve">Wodurch unterscheidet sich die FTD im Erstsymptom von der Alzheimer-Demenz?</w:t>
            </w:r>
          </w:p>
          <w:p>
            <w:pPr>
              <w:spacing w:after="260" w:line="260"/>
              <w:ind w:left="420"/>
            </w:pPr>
            <w:r>
              <w:rPr>
                <w:rFonts w:ascii="Segoe UI" w:cs="Segoe UI" w:eastAsia="Segoe UI" w:hAnsi="Segoe UI"/>
                <w:color w:val="AFBDC5"/>
                <w:sz w:val="20"/>
                <w:szCs w:val="20"/>
              </w:rPr>
              <w:t xml:space="preserve">Alzheimer beginnt mit Gedächtnisstörungen, die FTD mit Persönlichkeits- und Verhaltensänderung oder mit einer Sprachstörung.</w:t>
            </w:r>
          </w:p>
          <w:p>
            <w:pPr>
              <w:keepNext/>
              <w:pBdr>
                <w:top w:val="single" w:color="3A4B57" w:sz="4" w:space="10"/>
              </w:pBdr>
              <w:spacing w:after="60" w:line="260"/>
            </w:pPr>
            <w:r>
              <w:rPr>
                <w:rFonts w:ascii="Consolas" w:cs="Consolas" w:eastAsia="Consolas" w:hAnsi="Consolas"/>
                <w:color w:val="E8925A"/>
                <w:sz w:val="16"/>
                <w:szCs w:val="16"/>
              </w:rPr>
              <w:t xml:space="preserve">02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1"/>
                <w:szCs w:val="21"/>
              </w:rPr>
              <w:t xml:space="preserve">Warum ist der MMST bei Verdacht auf FTD ungeeignet?</w:t>
            </w:r>
          </w:p>
          <w:p>
            <w:pPr>
              <w:spacing w:after="260" w:line="260"/>
              <w:ind w:left="420"/>
            </w:pPr>
            <w:r>
              <w:rPr>
                <w:rFonts w:ascii="Segoe UI" w:cs="Segoe UI" w:eastAsia="Segoe UI" w:hAnsi="Segoe UI"/>
                <w:color w:val="AFBDC5"/>
                <w:sz w:val="20"/>
                <w:szCs w:val="20"/>
              </w:rPr>
              <w:t xml:space="preserve">Er prüft vor allem Gedächtnis und Orientierung — beides bleibt bei der FTD lange erhalten. Nötig sind Frontalhirntests wie die FAB.</w:t>
            </w:r>
          </w:p>
          <w:p>
            <w:pPr>
              <w:keepNext/>
              <w:pBdr>
                <w:top w:val="single" w:color="3A4B57" w:sz="4" w:space="10"/>
              </w:pBdr>
              <w:spacing w:after="60" w:line="260"/>
            </w:pPr>
            <w:r>
              <w:rPr>
                <w:rFonts w:ascii="Consolas" w:cs="Consolas" w:eastAsia="Consolas" w:hAnsi="Consolas"/>
                <w:color w:val="E8925A"/>
                <w:sz w:val="16"/>
                <w:szCs w:val="16"/>
              </w:rPr>
              <w:t xml:space="preserve">03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1"/>
                <w:szCs w:val="21"/>
              </w:rPr>
              <w:t xml:space="preserve">Nennen Sie drei der sechs Kernmerkmale der bvFTD.</w:t>
            </w:r>
          </w:p>
          <w:p>
            <w:pPr>
              <w:spacing w:after="260" w:line="260"/>
              <w:ind w:left="420"/>
            </w:pPr>
            <w:r>
              <w:rPr>
                <w:rFonts w:ascii="Segoe UI" w:cs="Segoe UI" w:eastAsia="Segoe UI" w:hAnsi="Segoe UI"/>
                <w:color w:val="AFBDC5"/>
                <w:sz w:val="20"/>
                <w:szCs w:val="20"/>
              </w:rPr>
              <w:t xml:space="preserve">Enthemmung, Apathie, Empathieverlust, stereotyp-zwanghaftes Verhalten, Hyperoralität, exekutive Störungen — drei von sechs genügen.</w:t>
            </w:r>
          </w:p>
          <w:p>
            <w:pPr>
              <w:keepNext/>
              <w:pBdr>
                <w:top w:val="single" w:color="3A4B57" w:sz="4" w:space="10"/>
              </w:pBdr>
              <w:spacing w:after="60" w:line="260"/>
            </w:pPr>
            <w:r>
              <w:rPr>
                <w:rFonts w:ascii="Consolas" w:cs="Consolas" w:eastAsia="Consolas" w:hAnsi="Consolas"/>
                <w:color w:val="E8925A"/>
                <w:sz w:val="16"/>
                <w:szCs w:val="16"/>
              </w:rPr>
              <w:t xml:space="preserve">04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1"/>
                <w:szCs w:val="21"/>
              </w:rPr>
              <w:t xml:space="preserve">Welche Medikamentengruppe ist bei der FTD nicht indiziert?</w:t>
            </w:r>
          </w:p>
          <w:p>
            <w:pPr>
              <w:spacing w:after="260" w:line="260"/>
              <w:ind w:left="420"/>
            </w:pPr>
            <w:r>
              <w:rPr>
                <w:rFonts w:ascii="Segoe UI" w:cs="Segoe UI" w:eastAsia="Segoe UI" w:hAnsi="Segoe UI"/>
                <w:color w:val="AFBDC5"/>
                <w:sz w:val="20"/>
                <w:szCs w:val="20"/>
              </w:rPr>
              <w:t xml:space="preserve">Acetylcholinesterasehemmer und Memantin. Sie sind unwirksam und können das Verhalten verschlechtern.</w:t>
            </w:r>
          </w:p>
          <w:p>
            <w:pPr>
              <w:keepNext/>
              <w:pBdr>
                <w:top w:val="single" w:color="3A4B57" w:sz="4" w:space="10"/>
              </w:pBdr>
              <w:spacing w:after="60" w:line="260"/>
            </w:pPr>
            <w:r>
              <w:rPr>
                <w:rFonts w:ascii="Consolas" w:cs="Consolas" w:eastAsia="Consolas" w:hAnsi="Consolas"/>
                <w:color w:val="E8925A"/>
                <w:sz w:val="16"/>
                <w:szCs w:val="16"/>
              </w:rPr>
              <w:t xml:space="preserve">05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1"/>
                <w:szCs w:val="21"/>
              </w:rPr>
              <w:t xml:space="preserve">Welche akute pflegerische Gefahr geht von der Hyperoralität aus?</w:t>
            </w:r>
          </w:p>
          <w:p>
            <w:pPr>
              <w:spacing w:after="260" w:line="260"/>
              <w:ind w:left="420"/>
            </w:pPr>
            <w:r>
              <w:rPr>
                <w:rFonts w:ascii="Segoe UI" w:cs="Segoe UI" w:eastAsia="Segoe UI" w:hAnsi="Segoe UI"/>
                <w:color w:val="AFBDC5"/>
                <w:sz w:val="20"/>
                <w:szCs w:val="20"/>
              </w:rPr>
              <w:t xml:space="preserve">Aspiration und Ersticken durch hastiges Schlucken großer Bissen, dazu die Aufnahme nicht essbarer Substanzen.</w:t>
            </w:r>
          </w:p>
          <w:p>
            <w:pPr>
              <w:keepNext/>
              <w:pBdr>
                <w:top w:val="single" w:color="3A4B57" w:sz="4" w:space="10"/>
              </w:pBdr>
              <w:spacing w:after="60" w:line="260"/>
            </w:pPr>
            <w:r>
              <w:rPr>
                <w:rFonts w:ascii="Consolas" w:cs="Consolas" w:eastAsia="Consolas" w:hAnsi="Consolas"/>
                <w:color w:val="E8925A"/>
                <w:sz w:val="16"/>
                <w:szCs w:val="16"/>
              </w:rPr>
              <w:t xml:space="preserve">06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1"/>
                <w:szCs w:val="21"/>
              </w:rPr>
              <w:t xml:space="preserve">Wie reagieren Sie auf distanzloses Verhalten gegenüber einer Mitpatientin?</w:t>
            </w:r>
          </w:p>
          <w:p>
            <w:pPr>
              <w:spacing w:after="0" w:line="260"/>
              <w:ind w:left="420"/>
            </w:pPr>
            <w:r>
              <w:rPr>
                <w:rFonts w:ascii="Segoe UI" w:cs="Segoe UI" w:eastAsia="Segoe UI" w:hAnsi="Segoe UI"/>
                <w:color w:val="AFBDC5"/>
                <w:sz w:val="20"/>
                <w:szCs w:val="20"/>
              </w:rPr>
              <w:t xml:space="preserve">Ruhig unterbrechen, die Situation räumlich entzerren, umlenken statt ermahnen, Betroffene schützen und informieren, Auslöser dokumentieren.</w:t>
            </w:r>
          </w:p>
        </w:tc>
      </w:tr>
    </w:tbl>
    <w:p>
      <w:pPr>
        <w:keepNext/>
        <w:pBdr>
          <w:top w:val="single" w:color="14202A" w:sz="8" w:space="8"/>
        </w:pBdr>
        <w:spacing w:after="60" w:before="460"/>
      </w:pPr>
      <w:r>
        <w:rPr>
          <w:rFonts w:ascii="Consolas" w:cs="Consolas" w:eastAsia="Consolas" w:hAnsi="Consolas"/>
          <w:caps/>
          <w:color w:val="566873"/>
          <w:spacing w:val="26"/>
          <w:sz w:val="15"/>
          <w:szCs w:val="15"/>
        </w:rPr>
        <w:t xml:space="preserve">Quellen</w:t>
      </w:r>
    </w:p>
    <w:p>
      <w:pPr>
        <w:pStyle w:val="Heading1"/>
        <w:keepNext/>
        <w:spacing w:after="180" w:before="0"/>
      </w:pPr>
      <w:r>
        <w:rPr>
          <w:rFonts w:ascii="Georgia" w:cs="Georgia" w:eastAsia="Georgia" w:hAnsi="Georgia"/>
          <w:b/>
          <w:bCs/>
          <w:color w:val="14202A"/>
          <w:sz w:val="34"/>
          <w:szCs w:val="34"/>
        </w:rPr>
        <w:t xml:space="preserve">Grundlage dieser Zusammenfassung</w:t>
      </w:r>
    </w:p>
    <w:p>
      <w:pPr>
        <w:spacing w:after="140" w:line="276"/>
      </w:pPr>
      <w:r>
        <w:rPr>
          <w:rFonts w:ascii="Segoe UI" w:cs="Segoe UI" w:eastAsia="Segoe UI" w:hAnsi="Segoe UI"/>
          <w:color w:val="566873"/>
          <w:sz w:val="20"/>
          <w:szCs w:val="20"/>
        </w:rPr>
        <w:t xml:space="preserve">Lernzusammenfassung für die Pflegeausbildung — kein Ersatz für ärztliche Diagnostik oder eine geltende Leitlinie im Original.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566873"/>
          <w:sz w:val="18"/>
          <w:szCs w:val="18"/>
        </w:rPr>
        <w:t xml:space="preserve">S3-Leitlinie Demenzen, DGPPN und DGN (AWMF-Registernummer 038-013) — Abschnitte zur frontotemporalen Lobärdegeneration, Diagnostik und Pharmakotherapie.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566873"/>
          <w:sz w:val="18"/>
          <w:szCs w:val="18"/>
        </w:rPr>
        <w:t xml:space="preserve">Rascovsky K. et al., Brain 2011 — internationale Konsensuskriterien der Verhaltensvariante (bvFTD).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566873"/>
          <w:sz w:val="18"/>
          <w:szCs w:val="18"/>
        </w:rPr>
        <w:t xml:space="preserve">Gorno-Tempini M.-L. et al., Neurology 2011 — Klassifikation der primär progredienten Aphasien.</w:t>
      </w:r>
    </w:p>
    <w:p>
      <w:pPr>
        <w:spacing w:after="90" w:line="264"/>
        <w:ind w:left="340" w:hanging="340"/>
      </w:pPr>
      <w:r>
        <w:rPr>
          <w:rFonts w:ascii="Segoe UI" w:cs="Segoe UI" w:eastAsia="Segoe UI" w:hAnsi="Segoe UI"/>
          <w:color w:val="C2571C"/>
          <w:sz w:val="20"/>
          <w:szCs w:val="20"/>
        </w:rPr>
        <w:t xml:space="preserve">—</w:t>
      </w:r>
      <w:r>
        <w:rPr>
          <w:rFonts w:ascii="Segoe UI" w:cs="Segoe UI" w:eastAsia="Segoe UI" w:hAnsi="Segoe UI"/>
          <w:color w:val="24333D"/>
          <w:sz w:val="20"/>
          <w:szCs w:val="20"/>
        </w:rPr>
        <w:t xml:space="preserve">  </w:t>
      </w:r>
      <w:r>
        <w:rPr>
          <w:rFonts w:ascii="Segoe UI" w:cs="Segoe UI" w:eastAsia="Segoe UI" w:hAnsi="Segoe UI"/>
          <w:color w:val="566873"/>
          <w:sz w:val="18"/>
          <w:szCs w:val="18"/>
        </w:rPr>
        <w:t xml:space="preserve">I care Pflege, Thieme 2020, Kap. 56 — Grundlagen Demenz, Orientierungshilfen, psychosoziale Therapieansätze und Kommunikation. Die FTD wird dort nicht als eigene Demenzform geführt; die FTD-Spezifika stammen aus den oben genannten Leitlinien- und Konsensusquellen.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020" w:right="1133" w:bottom="1020" w:left="1133" w:header="566" w:footer="566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nsolas" w:cs="Consolas" w:eastAsia="Consolas" w:hAnsi="Consolas"/>
        <w:color w:val="5668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3CDD2" w:sz="4" w:space="6"/>
      </w:pBdr>
      <w:tabs>
        <w:tab w:val="right" w:pos="9638"/>
      </w:tabs>
      <w:spacing w:after="240"/>
    </w:pPr>
    <w:r>
      <w:rPr>
        <w:rFonts w:ascii="Consolas" w:cs="Consolas" w:eastAsia="Consolas" w:hAnsi="Consolas"/>
        <w:color w:val="566873"/>
        <w:spacing w:val="20"/>
        <w:sz w:val="16"/>
        <w:szCs w:val="16"/>
      </w:rPr>
      <w:t xml:space="preserve">FRONTOTEMPORALE DEMENZ</w:t>
      <w:tab/>
      <w:t xml:space="preserve">LERNZUSAMMENFASSUNG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433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0"/>
    </w:pPr>
    <w:rPr>
      <w:rFonts w:ascii="Georgia" w:cs="Georgia" w:eastAsia="Georgia" w:hAnsi="Georgia"/>
      <w:b/>
      <w:bCs/>
      <w:color w:val="14202A"/>
      <w:sz w:val="34"/>
      <w:szCs w:val="3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a71ad4cec040e1551c03da7dfa02f2d5f7467f8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Frontotemporale Demenz</dc:title>
  <dc:creator>Lernzusammenfassung Pflege</dc:creator>
  <dc:description>Strukturierte Lernzusammenfassung zur frontotemporalen Demenz</dc:description>
  <cp:lastModifiedBy>Un-named</cp:lastModifiedBy>
  <cp:revision>1</cp:revision>
  <dcterms:created xsi:type="dcterms:W3CDTF">2026-08-18T09:12:23.037Z</dcterms:created>
  <dcterms:modified xsi:type="dcterms:W3CDTF">2026-08-18T09:12:23.037Z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