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60" w:after="200"/>
        <w:jc w:val="center"/>
        <w:rPr/>
      </w:pPr>
      <w:r>
        <w:rPr>
          <w:b/>
          <w:color w:val="1A5E9D"/>
          <w:sz w:val="56"/>
        </w:rPr>
        <w:t>PhishNet</w:t>
      </w:r>
    </w:p>
    <w:p>
      <w:pPr>
        <w:pStyle w:val="Normal"/>
        <w:jc w:val="center"/>
        <w:rPr/>
      </w:pPr>
      <w:r>
        <w:rPr>
          <w:color w:val="2874A6"/>
          <w:sz w:val="32"/>
        </w:rPr>
        <w:t>Cahier des charges fonctionnel</w:t>
      </w:r>
    </w:p>
    <w:p>
      <w:pPr>
        <w:pStyle w:val="Normal"/>
        <w:rPr/>
      </w:pPr>
      <w:r>
        <w:rPr/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/>
            <w:shd w:color="auto" w:fill="D6EAF8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Projet</w:t>
            </w:r>
          </w:p>
        </w:tc>
        <w:tc>
          <w:tcPr>
            <w:tcW w:w="4702" w:type="dxa"/>
            <w:tcBorders/>
            <w:shd w:color="auto" w:fill="D6EAF8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PhishNet — Plateforme B2B de simulation de phishing</w:t>
            </w:r>
          </w:p>
        </w:tc>
      </w:tr>
      <w:tr>
        <w:trPr/>
        <w:tc>
          <w:tcPr>
            <w:tcW w:w="4703" w:type="dxa"/>
            <w:tcBorders/>
            <w:shd w:color="auto" w:fill="EBF5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4702" w:type="dxa"/>
            <w:tcBorders/>
            <w:shd w:color="auto" w:fill="EBF5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4703" w:type="dxa"/>
            <w:tcBorders/>
            <w:shd w:color="auto" w:fill="D6EAF8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Auteur</w:t>
            </w:r>
          </w:p>
        </w:tc>
        <w:tc>
          <w:tcPr>
            <w:tcW w:w="4702" w:type="dxa"/>
            <w:tcBorders/>
            <w:shd w:color="auto" w:fill="D6EAF8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Diogo Gomes Lopes</w:t>
            </w:r>
          </w:p>
        </w:tc>
      </w:tr>
      <w:tr>
        <w:trPr/>
        <w:tc>
          <w:tcPr>
            <w:tcW w:w="4703" w:type="dxa"/>
            <w:tcBorders/>
            <w:shd w:color="auto" w:fill="EBF5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Certification</w:t>
            </w:r>
          </w:p>
        </w:tc>
        <w:tc>
          <w:tcPr>
            <w:tcW w:w="4702" w:type="dxa"/>
            <w:tcBorders/>
            <w:shd w:color="auto" w:fill="EBF5F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TP Concepteur Développeur d'Applications — RNCP 37873 Niveau 6</w:t>
            </w:r>
          </w:p>
        </w:tc>
      </w:tr>
      <w:tr>
        <w:trPr/>
        <w:tc>
          <w:tcPr>
            <w:tcW w:w="4703" w:type="dxa"/>
            <w:tcBorders/>
            <w:shd w:color="auto" w:fill="D6EAF8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Date</w:t>
            </w:r>
          </w:p>
        </w:tc>
        <w:tc>
          <w:tcPr>
            <w:tcW w:w="4702" w:type="dxa"/>
            <w:tcBorders/>
            <w:shd w:color="auto" w:fill="D6EAF8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202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>
          <w:color w:val="1A5E9D"/>
        </w:rPr>
        <w:t>1. Contexte et problématique</w:t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D6EAF8" w:val="clea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A5E9D"/>
                <w:kern w:val="0"/>
                <w:sz w:val="22"/>
                <w:szCs w:val="22"/>
                <w:lang w:val="en-US" w:eastAsia="en-US" w:bidi="ar-SA"/>
              </w:rPr>
              <w:t>1.1 Contexte métier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40" w:after="40"/>
        <w:rPr/>
      </w:pPr>
      <w:r>
        <w:rPr>
          <w:b w:val="false"/>
          <w:sz w:val="20"/>
        </w:rPr>
        <w:t>Les attaques de phishing représentent plus de 80 % des incidents de sécurité en entreprise (source : ANSSI 2023). La majorité des organisations ne disposent pas d'outils adaptés pour simuler ces attaques en conditions réelles et sensibiliser efficacement leurs collaborateurs.</w:t>
      </w:r>
    </w:p>
    <w:p>
      <w:pPr>
        <w:pStyle w:val="Normal"/>
        <w:spacing w:before="40" w:after="40"/>
        <w:rPr/>
      </w:pPr>
      <w:r>
        <w:rPr>
          <w:b w:val="false"/>
          <w:sz w:val="20"/>
        </w:rPr>
        <w:t>Les solutions existantes (GoPhish, KnowBe4, Proofpoint Security Awareness) présentent des limitations importantes pour les PME : complexité d'auto-hébergement, coût élevé des licences SaaS, ou dépendance à des services tiers difficilement auditables.</w:t>
      </w:r>
    </w:p>
    <w:p>
      <w:pPr>
        <w:pStyle w:val="Normal"/>
        <w:rPr/>
      </w:pPr>
      <w:r>
        <w:rPr/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D6EAF8" w:val="clea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A5E9D"/>
                <w:kern w:val="0"/>
                <w:sz w:val="22"/>
                <w:szCs w:val="22"/>
                <w:lang w:val="en-US" w:eastAsia="en-US" w:bidi="ar-SA"/>
              </w:rPr>
              <w:t>1.2 Problématique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40" w:after="40"/>
        <w:rPr/>
      </w:pPr>
      <w:r>
        <w:rPr>
          <w:b w:val="false"/>
          <w:sz w:val="20"/>
        </w:rPr>
        <w:t>Comment fournir aux équipes sécurité des organisations de taille moyenne une plateforme B2B multi-tenant, auto-hébergeable et conforme RGPD, permettant de conduire des campagnes de phishing simulées, de mesurer la vigilance des collaborateurs et de produire des rapports d'audit exploitables ?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A5E9D"/>
        </w:rPr>
        <w:t>2. Objectifs du projet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#</w:t>
            </w:r>
          </w:p>
        </w:tc>
        <w:tc>
          <w:tcPr>
            <w:tcW w:w="3135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Objectif</w:t>
            </w:r>
          </w:p>
        </w:tc>
        <w:tc>
          <w:tcPr>
            <w:tcW w:w="3135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Indicateur de succès</w:t>
            </w:r>
          </w:p>
        </w:tc>
      </w:tr>
      <w:tr>
        <w:trPr/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O1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Permettre à une organisation de lancer des campagnes de phishing simulées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Campagne créée et emails envoyés en &lt; 60 s</w:t>
            </w:r>
          </w:p>
        </w:tc>
      </w:tr>
      <w:tr>
        <w:trPr/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O2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Suivre le comportement des cibles (ouverture, clic, soumission de formulaire)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Précision du tracking &gt; 99 %</w:t>
            </w:r>
          </w:p>
        </w:tc>
      </w:tr>
      <w:tr>
        <w:trPr/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O3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Isoler strictement les données de chaque client (multi-tenant)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Zéro fuite de données inter-tenant en tests d'intégration</w:t>
            </w:r>
          </w:p>
        </w:tc>
      </w:tr>
      <w:tr>
        <w:trPr/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O4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Respecter les obligations RGPD (droit à l'effacement, Art. 17)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Anonymisation effective des PII sur demande, audit log conservé</w:t>
            </w:r>
          </w:p>
        </w:tc>
      </w:tr>
      <w:tr>
        <w:trPr/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O5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Fournir une interface accessible conforme RGAA (WCAG 2.1 AA)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Zéro violation détectée par axe-core en CI</w:t>
            </w:r>
          </w:p>
        </w:tc>
      </w:tr>
      <w:tr>
        <w:trPr/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O6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Déploiement reproductible en environnement de production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Stack complète opérationnelle via docker compose up en &lt; 2 min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A5E9D"/>
        </w:rPr>
        <w:t>3. Périmètre fonctionnel</w:t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D6EAF8" w:val="clea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A5E9D"/>
                <w:kern w:val="0"/>
                <w:sz w:val="22"/>
                <w:szCs w:val="22"/>
                <w:lang w:val="en-US" w:eastAsia="en-US" w:bidi="ar-SA"/>
              </w:rPr>
              <w:t>3.1 Fonctionnalités incluses (v1)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Authentification JWT avec gestion des rôles (Admin / Opérateur / Utilisateur)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Multi-tenancy avec codes d'invitation horodatés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Gestion des templates (email HTML + landing page HTML avec placeholders)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Campagnes de phishing avec moteur SMTP natif (STARTTLS port 587 / SSL port 465)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Tracking ouverture (pixel GIF 1×1), clic (redirect), soumission de formulaire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Tableau de bord avec statistiques en temps réel par campagne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Gestion des cibles (ajout, suppression, détection de doublons)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Journal d'audit horodaté avec export CSV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Droit à l'effacement RGPD (Art. 17) — anonymisation des PII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Déploiement Docker Compose (PostgreSQL 15 + Redis 7 + Flask + React/Nginx)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Pipeline CI/CD GitHub Actions (tests + lint + build + push image Docker)</w:t>
      </w:r>
    </w:p>
    <w:p>
      <w:pPr>
        <w:pStyle w:val="Normal"/>
        <w:rPr/>
      </w:pPr>
      <w:r>
        <w:rPr/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FDEBD0" w:val="clear"/>
          </w:tcPr>
          <w:p>
            <w:pPr>
              <w:pStyle w:val="Normal"/>
              <w:widowControl/>
              <w:spacing w:lineRule="auto" w:line="240" w:before="60" w:after="6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784212"/>
                <w:kern w:val="0"/>
                <w:sz w:val="22"/>
                <w:szCs w:val="22"/>
                <w:lang w:val="en-US" w:eastAsia="en-US" w:bidi="ar-SA"/>
              </w:rPr>
              <w:t>3.2 Fonctionnalités exclues (hors périmètre v1)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Campagnes planifiées (envoi différé à une date/heure)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Génération automatique de rapports PDF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Intégration SSO / LDAP / Active Directory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Notifications temps réel (WebSocket / Server-Sent Events)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Application mobile native (iOS / Android)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Module de formation e-learning intégré</w:t>
      </w:r>
    </w:p>
    <w:p>
      <w:pPr>
        <w:pStyle w:val="ListBullet"/>
        <w:numPr>
          <w:ilvl w:val="0"/>
          <w:numId w:val="1"/>
        </w:numPr>
        <w:spacing w:before="20" w:after="20"/>
        <w:ind w:left="283" w:hanging="360"/>
        <w:contextualSpacing/>
        <w:rPr/>
      </w:pPr>
      <w:r>
        <w:rPr>
          <w:sz w:val="20"/>
        </w:rPr>
        <w:t>Internationalisation (i18n) de l'interface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A5E9D"/>
        </w:rPr>
        <w:t>4. Parties prenantes et personas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81"/>
        <w:gridCol w:w="1881"/>
        <w:gridCol w:w="1881"/>
        <w:gridCol w:w="1881"/>
        <w:gridCol w:w="1881"/>
      </w:tblGrid>
      <w:tr>
        <w:trPr/>
        <w:tc>
          <w:tcPr>
            <w:tcW w:w="1881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Persona</w:t>
            </w:r>
          </w:p>
        </w:tc>
        <w:tc>
          <w:tcPr>
            <w:tcW w:w="1881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Rôle système</w:t>
            </w:r>
          </w:p>
        </w:tc>
        <w:tc>
          <w:tcPr>
            <w:tcW w:w="1881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Profil</w:t>
            </w:r>
          </w:p>
        </w:tc>
        <w:tc>
          <w:tcPr>
            <w:tcW w:w="1881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Besoins principaux</w:t>
            </w:r>
          </w:p>
        </w:tc>
        <w:tc>
          <w:tcPr>
            <w:tcW w:w="1881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Contraintes</w:t>
            </w:r>
          </w:p>
        </w:tc>
      </w:tr>
      <w:tr>
        <w:trPr/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Administrateur système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Admin global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DSI ou responsable sécurité, maîtrise technique élevée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Gérer tous les tenants, accéder aux templates globaux, superviser l'ensemble des comptes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Accès total à la plateforme — responsabilité réglementaire</w:t>
            </w:r>
          </w:p>
        </w:tc>
      </w:tr>
      <w:tr>
        <w:trPr/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Opérateur de tenant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Opérateur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Responsable sécurité d'une entreprise cliente, profil semi-technique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Créer et piloter des campagnes, gérer les cibles et les utilisateurs de son organisation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Périmètre limité à son tenant — aucune visibilité sur les autres tenants</w:t>
            </w:r>
          </w:p>
        </w:tc>
      </w:tr>
      <w:tr>
        <w:trPr/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Consultant / Analyste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Utilisateur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Membre de l'équipe sécurité, non-technique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Consulter les résultats et statistiques de campagnes, exporter les logs d'audit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Accès en lecture — aucune modification possible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A5E9D"/>
        </w:rPr>
        <w:t>5. Exigences fonctionnelles</w:t>
      </w:r>
    </w:p>
    <w:p>
      <w:pPr>
        <w:pStyle w:val="Normal"/>
        <w:spacing w:before="40" w:after="40"/>
        <w:rPr/>
      </w:pPr>
      <w:r>
        <w:rPr>
          <w:b w:val="false"/>
          <w:sz w:val="18"/>
        </w:rPr>
        <w:t>Les exigences sont priorisées selon la méthode MoSCoW : MUST (obligatoire), SHOULD (important), COULD (optionnel), WON'T (hors périmètre v1).</w:t>
      </w:r>
    </w:p>
    <w:p>
      <w:pPr>
        <w:pStyle w:val="Normal"/>
        <w:rPr/>
      </w:pPr>
      <w:r>
        <w:rPr/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81"/>
        <w:gridCol w:w="1881"/>
        <w:gridCol w:w="1881"/>
        <w:gridCol w:w="1881"/>
        <w:gridCol w:w="1881"/>
      </w:tblGrid>
      <w:tr>
        <w:trPr/>
        <w:tc>
          <w:tcPr>
            <w:tcW w:w="1881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1881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Module</w:t>
            </w:r>
          </w:p>
        </w:tc>
        <w:tc>
          <w:tcPr>
            <w:tcW w:w="1881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Exigence</w:t>
            </w:r>
          </w:p>
        </w:tc>
        <w:tc>
          <w:tcPr>
            <w:tcW w:w="1881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Priorité</w:t>
            </w:r>
          </w:p>
        </w:tc>
        <w:tc>
          <w:tcPr>
            <w:tcW w:w="1881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Critère d'acceptation</w:t>
            </w:r>
          </w:p>
        </w:tc>
      </w:tr>
      <w:tr>
        <w:trPr/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EF01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Auth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L'utilisateur peut se connecter avec email + mot de passe et recevoir un JWT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Token JWT retourné avec durée de vie configurable ; rejet si credentials invalides → 401</w:t>
            </w:r>
          </w:p>
        </w:tc>
      </w:tr>
      <w:tr>
        <w:trPr/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EF02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Auth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L'inscription nécessite un code d'invitation valide lié à un tenant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Rejet si code inexistant, expiré ou déjà utilisé → 400/409</w:t>
            </w:r>
          </w:p>
        </w:tc>
      </w:tr>
      <w:tr>
        <w:trPr/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EF03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Auth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Blocage temporaire après 5 tentatives de connexion par minute (anti-brute-force)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Réponse 429 Too Many Requests dès la 6e tentative dans la fenêtre</w:t>
            </w:r>
          </w:p>
        </w:tc>
      </w:tr>
      <w:tr>
        <w:trPr/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EF04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Tenant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L'admin peut créer, modifier et supprimer des tenants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CRUD complet ; suppression bloquée si le tenant possède des utilisateurs actifs</w:t>
            </w:r>
          </w:p>
        </w:tc>
      </w:tr>
      <w:tr>
        <w:trPr/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EF05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Tenant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L'opérateur peut générer des codes d'invitation pour son tenant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Code unique UUID, expiration configurable, utilisable une seule fois</w:t>
            </w:r>
          </w:p>
        </w:tc>
      </w:tr>
      <w:tr>
        <w:trPr/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EF06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Cibles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L'opérateur peut ajouter et supprimer des cibles (email, prénom, nom, poste)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Détection de doublon sur l'email par tenant ; isolation totale inter-tenant</w:t>
            </w:r>
          </w:p>
        </w:tc>
      </w:tr>
      <w:tr>
        <w:trPr/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EF07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Templates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L'admin peut créer des templates avec sujet, corps HTML email et landing page HTML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Placeholders {{.Email}}, {{.FirstName}}, {{.LastName}}, {{.Position}}, {{TRACKING_PIXEL}}, {{CLICK_URL}}, {{FORM_ACTION}} substitués à l'envoi</w:t>
            </w:r>
          </w:p>
        </w:tc>
      </w:tr>
      <w:tr>
        <w:trPr/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EF08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Campagnes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L'opérateur peut créer une campagne à partir d'un template — envoi immédiat à toutes les cibles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Email envoyé à chaque cible avec token UUID unique ; statut initial : Running</w:t>
            </w:r>
          </w:p>
        </w:tc>
      </w:tr>
      <w:tr>
        <w:trPr/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EF09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Campagnes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L'opérateur peut arrêter une campagne en cours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Statut passe à Stopped ; tracking des événements reste actif</w:t>
            </w:r>
          </w:p>
        </w:tc>
      </w:tr>
      <w:tr>
        <w:trPr/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EF10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Tracking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Détection d'ouverture d'email via pixel GIF 1×1 intégré dans le corps du message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 /track/o/&lt;token&gt; retourne image/gif ; enregistrement idempotent du premier événement</w:t>
            </w:r>
          </w:p>
        </w:tc>
      </w:tr>
      <w:tr>
        <w:trPr/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EF11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Tracking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Détection du clic sur le lien piégé avec redirection vers la landing page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 /track/c/&lt;token&gt; enregistre l'événement ; redirection 302 vers /phish/&lt;token&gt;</w:t>
            </w:r>
          </w:p>
        </w:tc>
      </w:tr>
      <w:tr>
        <w:trPr/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EF12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Tracking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Enregistrement de la soumission de formulaire sur la landing page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 /phish/&lt;token&gt; persiste submitted_at ; redirection vers la page /caught</w:t>
            </w:r>
          </w:p>
        </w:tc>
      </w:tr>
      <w:tr>
        <w:trPr/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EF13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Stats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Tableau de bord affichant en temps réel : envoyés / ouverts / cliqués / soumis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Compteurs et pourcentages recalculés à chaque consultation</w:t>
            </w:r>
          </w:p>
        </w:tc>
      </w:tr>
      <w:tr>
        <w:trPr/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EF14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Audit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Journal de toutes les actions admin et opérateur (login, création, suppression, etc.)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Entrée horodatée avec IP, user_id, type d'action et détails JSON</w:t>
            </w:r>
          </w:p>
        </w:tc>
      </w:tr>
      <w:tr>
        <w:trPr/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EF15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Audit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Export du journal d'audit au format CSV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SHOULD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Fichier CSV téléchargeable depuis l'interface, encodage UTF-8</w:t>
            </w:r>
          </w:p>
        </w:tc>
      </w:tr>
      <w:tr>
        <w:trPr/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EF16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RGPD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Suppression d'une cible avec anonymisation de ses données dans l'historique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PII remplacés par [supprimé] dans campaign_results ; statistiques agrégées conservées</w:t>
            </w:r>
          </w:p>
        </w:tc>
      </w:tr>
      <w:tr>
        <w:trPr/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EF17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Sécurité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Toutes les données sont strictement isolées par tenant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MUST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Chaque requête API filtre par tenant_id issu du JWT ; tests d'isolation en suite de tests</w:t>
            </w:r>
          </w:p>
        </w:tc>
      </w:tr>
      <w:tr>
        <w:trPr/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EF18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UI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Interface utilisable sur mobile (responsive)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SHOULD</w:t>
            </w:r>
          </w:p>
        </w:tc>
        <w:tc>
          <w:tcPr>
            <w:tcW w:w="1881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Rendu correct sur viewport 375 px (iPhone SE) via Tailwind CSS</w:t>
            </w:r>
          </w:p>
        </w:tc>
      </w:tr>
      <w:tr>
        <w:trPr/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EF19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Accessibilité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Interface conforme WCAG 2.1 niveau AA (RGAA)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SHOULD</w:t>
            </w:r>
          </w:p>
        </w:tc>
        <w:tc>
          <w:tcPr>
            <w:tcW w:w="1881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Zéro violation détectée par axe-core dans la suite Vitest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A5E9D"/>
        </w:rPr>
        <w:t>6. User stories</w:t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EBF5FB" w:val="clea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874A6"/>
                <w:kern w:val="0"/>
                <w:sz w:val="18"/>
                <w:szCs w:val="22"/>
                <w:lang w:val="en-US" w:eastAsia="en-US" w:bidi="ar-SA"/>
              </w:rPr>
              <w:t>US-01 — Authentification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En tant que opérateur,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je veux me connecter avec mon email et mon mot de passe </w:t>
            </w: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afin de accéder à mon espace de travail sécurisé.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A5E9D"/>
                <w:kern w:val="0"/>
                <w:sz w:val="18"/>
                <w:szCs w:val="22"/>
                <w:lang w:val="en-US" w:eastAsia="en-US" w:bidi="ar-SA"/>
              </w:rPr>
              <w:t>Critères d'acceptation :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Échec si email inconnu ou mot de passe incorrect → réponse 401 avec message explicite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Blocage après 5 tentatives en 1 minute → réponse 429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Token JWT retourné avec la durée de vie configurée dans l'environnement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EBF5FB" w:val="clea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874A6"/>
                <w:kern w:val="0"/>
                <w:sz w:val="18"/>
                <w:szCs w:val="22"/>
                <w:lang w:val="en-US" w:eastAsia="en-US" w:bidi="ar-SA"/>
              </w:rPr>
              <w:t>US-02 — Inscription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En tant que nouvel utilisateur,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je veux m'inscrire via un code d'invitation </w:t>
            </w: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afin de accéder à la plateforme de mon organisation.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A5E9D"/>
                <w:kern w:val="0"/>
                <w:sz w:val="18"/>
                <w:szCs w:val="22"/>
                <w:lang w:val="en-US" w:eastAsia="en-US" w:bidi="ar-SA"/>
              </w:rPr>
              <w:t>Critères d'acceptation :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Code invalide ou expiré → message d'erreur explicite sans révéler les détails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Email déjà utilisé → 409 Conflict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Mot de passe minimum 6 caractères ; validation côté client et côté serveur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Code marqué comme utilisé après inscription réussie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EBF5FB" w:val="clea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874A6"/>
                <w:kern w:val="0"/>
                <w:sz w:val="18"/>
                <w:szCs w:val="22"/>
                <w:lang w:val="en-US" w:eastAsia="en-US" w:bidi="ar-SA"/>
              </w:rPr>
              <w:t>US-03 — Création de campagne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En tant que opérateur,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je veux créer une campagne de phishing à partir d'un template existant </w:t>
            </w: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afin de tester la vigilance de mes collaborateurs sur un scénario réaliste.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A5E9D"/>
                <w:kern w:val="0"/>
                <w:sz w:val="18"/>
                <w:szCs w:val="22"/>
                <w:lang w:val="en-US" w:eastAsia="en-US" w:bidi="ar-SA"/>
              </w:rPr>
              <w:t>Critères d'acceptation :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Impossible si aucune cible n'est enregistrée dans le tenant → message d'erreur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 email personnalisé (placeholders résolus) est envoyé à chaque cible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 token UUID unique est généré par cible pour le tracking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 campagne apparaît immédiatement dans la liste avec le statut Running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EBF5FB" w:val="clea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874A6"/>
                <w:kern w:val="0"/>
                <w:sz w:val="18"/>
                <w:szCs w:val="22"/>
                <w:lang w:val="en-US" w:eastAsia="en-US" w:bidi="ar-SA"/>
              </w:rPr>
              <w:t>US-04 — Suivi des résultats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En tant que opérateur,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je veux consulter les résultats d'une campagne en temps réel </w:t>
            </w: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afin de mesurer l'exposition de mon organisation et identifier les cibles à risque.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A5E9D"/>
                <w:kern w:val="0"/>
                <w:sz w:val="18"/>
                <w:szCs w:val="22"/>
                <w:lang w:val="en-US" w:eastAsia="en-US" w:bidi="ar-SA"/>
              </w:rPr>
              <w:t>Critères d'acceptation :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Compteurs affichés : envoyés / ouverts / cliqués / soumis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Pourcentages calculés automatiquement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Liste des cibles avec horodatage de chaque événement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EBF5FB" w:val="clea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874A6"/>
                <w:kern w:val="0"/>
                <w:sz w:val="18"/>
                <w:szCs w:val="22"/>
                <w:lang w:val="en-US" w:eastAsia="en-US" w:bidi="ar-SA"/>
              </w:rPr>
              <w:t>US-05 — Gestion des cibles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En tant que opérateur,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je veux ajouter et supprimer des cibles de phishing </w:t>
            </w: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afin de maintenir à jour la liste des collaborateurs à sensibiliser.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A5E9D"/>
                <w:kern w:val="0"/>
                <w:sz w:val="18"/>
                <w:szCs w:val="22"/>
                <w:lang w:val="en-US" w:eastAsia="en-US" w:bidi="ar-SA"/>
              </w:rPr>
              <w:t>Critères d'acceptation :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Champs requis : email (format valide), prénom, nom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Rejet si l'email est déjà présent dans le tenant → message de doublon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Suppression simple ou suppression avec effacement RGPD au choix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EBF5FB" w:val="clea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874A6"/>
                <w:kern w:val="0"/>
                <w:sz w:val="18"/>
                <w:szCs w:val="22"/>
                <w:lang w:val="en-US" w:eastAsia="en-US" w:bidi="ar-SA"/>
              </w:rPr>
              <w:t>US-06 — Effacement RGPD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En tant que opérateur,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je veux exercer le droit à l'effacement d'une cible (Art. 17 RGPD) </w:t>
            </w: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afin de respecter les obligations réglementaires de mon organisation.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A5E9D"/>
                <w:kern w:val="0"/>
                <w:sz w:val="18"/>
                <w:szCs w:val="22"/>
                <w:lang w:val="en-US" w:eastAsia="en-US" w:bidi="ar-SA"/>
              </w:rPr>
              <w:t>Critères d'acceptation :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PII anonymisés dans tous les résultats de campagnes passées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Statistiques agrégées conservées (pas d'impact sur les métriques)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Entrée d'audit créée pour tracer la demande d'effacement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EBF5FB" w:val="clea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874A6"/>
                <w:kern w:val="0"/>
                <w:sz w:val="18"/>
                <w:szCs w:val="22"/>
                <w:lang w:val="en-US" w:eastAsia="en-US" w:bidi="ar-SA"/>
              </w:rPr>
              <w:t>US-07 — Gestion des templates (admin)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En tant que administrateur,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je veux créer et modifier des templates de phishing réalistes </w:t>
            </w: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afin de proposer des scénarios variés et crédibles aux tenants.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A5E9D"/>
                <w:kern w:val="0"/>
                <w:sz w:val="18"/>
                <w:szCs w:val="22"/>
                <w:lang w:val="en-US" w:eastAsia="en-US" w:bidi="ar-SA"/>
              </w:rPr>
              <w:t>Critères d'acceptation :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Éditeur de corps HTML email et landing page HTML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Champ URL de redirection post-soumission configurable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Les placeholders ({{.Email}}, {{FORM_ACTION}}, etc.) sont documentés dans l'interface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406"/>
      </w:tblGrid>
      <w:tr>
        <w:trPr/>
        <w:tc>
          <w:tcPr>
            <w:tcW w:w="9406" w:type="dxa"/>
            <w:tcBorders/>
            <w:shd w:color="auto" w:fill="EBF5FB" w:val="clea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874A6"/>
                <w:kern w:val="0"/>
                <w:sz w:val="18"/>
                <w:szCs w:val="22"/>
                <w:lang w:val="en-US" w:eastAsia="en-US" w:bidi="ar-SA"/>
              </w:rPr>
              <w:t>US-08 — Journal d'audit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En tant que opérateur, 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je veux consulter et exporter le journal d'audit de mon organisation </w:t>
            </w: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afin de prouver la conformité des opérations lors d'un audit interne ou réglementaire.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A5E9D"/>
                <w:kern w:val="0"/>
                <w:sz w:val="18"/>
                <w:szCs w:val="22"/>
                <w:lang w:val="en-US" w:eastAsia="en-US" w:bidi="ar-SA"/>
              </w:rPr>
              <w:t>Critères d'acceptation :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Filtrage par utilisateur, type d'action et type de ressource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Pagination des entrées (affichage par pages)</w:t>
            </w:r>
          </w:p>
          <w:p>
            <w:pPr>
              <w:pStyle w:val="Normal"/>
              <w:widowControl/>
              <w:spacing w:lineRule="auto" w:line="240" w:before="20" w:after="20"/>
              <w:ind w:left="227" w:hanging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Export CSV téléchargeable directement depuis l'interface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A5E9D"/>
        </w:rPr>
        <w:t>7. Exigences non fonctionnelles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Catégorie</w:t>
            </w:r>
          </w:p>
        </w:tc>
        <w:tc>
          <w:tcPr>
            <w:tcW w:w="3135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Exigence</w:t>
            </w:r>
          </w:p>
        </w:tc>
        <w:tc>
          <w:tcPr>
            <w:tcW w:w="3135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Mesure / Référentiel</w:t>
            </w:r>
          </w:p>
        </w:tc>
      </w:tr>
      <w:tr>
        <w:trPr/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Performance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Envoi de 50 emails en moins de 60 secondes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Mesure chronométrique en environnement de staging</w:t>
            </w:r>
          </w:p>
        </w:tc>
      </w:tr>
      <w:tr>
        <w:trPr/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Performance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Temps de réponse API &lt; 500 ms (p95) hors SMTP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Logs Gunicorn, monitoring applicatif</w:t>
            </w:r>
          </w:p>
        </w:tc>
      </w:tr>
      <w:tr>
        <w:trPr/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Sécurité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Mots de passe hachés avec Bcrypt (cost factor ≥ 12)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OWASP ASVS v4 — section 2.4</w:t>
            </w:r>
          </w:p>
        </w:tc>
      </w:tr>
      <w:tr>
        <w:trPr/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Sécurité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Toutes les requêtes SQL via ORM (protection injection)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OWASP Top 10 — A03:2021</w:t>
            </w:r>
          </w:p>
        </w:tc>
      </w:tr>
      <w:tr>
        <w:trPr/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Sécurité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Rate limiting sur les endpoints d'authentification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OWASP API Security Top 10 — API4</w:t>
            </w:r>
          </w:p>
        </w:tc>
      </w:tr>
      <w:tr>
        <w:trPr/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Sécurité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CORS restreint aux origines configurées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ANSSI — Guide de développement web sécurisé</w:t>
            </w:r>
          </w:p>
        </w:tc>
      </w:tr>
      <w:tr>
        <w:trPr/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Accessibilité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Conformité WCAG 2.1 niveau AA (RGAA)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Validation axe-core automatisée en CI</w:t>
            </w:r>
          </w:p>
        </w:tc>
      </w:tr>
      <w:tr>
        <w:trPr/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Accessibilité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Navigation clavier complète (tabindex, focus visible)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RGAA critère 12.1</w:t>
            </w:r>
          </w:p>
        </w:tc>
      </w:tr>
      <w:tr>
        <w:trPr/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Disponibilité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Redémarrage automatique des conteneurs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Docker restart: unless-stopped</w:t>
            </w:r>
          </w:p>
        </w:tc>
      </w:tr>
      <w:tr>
        <w:trPr/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RGPD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Aucune donnée personnelle en clair dans les logs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RGPD Art. 5.1.f — intégrité et confidentialité</w:t>
            </w:r>
          </w:p>
        </w:tc>
      </w:tr>
      <w:tr>
        <w:trPr/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RGPD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Droit à l'effacement (Art. 17) implémenté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Anonymisation des PII dans l'historique</w:t>
            </w:r>
          </w:p>
        </w:tc>
      </w:tr>
      <w:tr>
        <w:trPr/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Maintenabilité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Couverture de tests backend ≥ 80 %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Rapport pytest-cov — artefact GitHub Actions</w:t>
            </w:r>
          </w:p>
        </w:tc>
      </w:tr>
      <w:tr>
        <w:trPr/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Maintenabilité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Pipeline CI verte à chaque push sur main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GitHub Actions : tests + lint + build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A5E9D"/>
        </w:rPr>
        <w:t>8. Contraintes techniques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Composant</w:t>
            </w:r>
          </w:p>
        </w:tc>
        <w:tc>
          <w:tcPr>
            <w:tcW w:w="3135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Technologie retenue</w:t>
            </w:r>
          </w:p>
        </w:tc>
        <w:tc>
          <w:tcPr>
            <w:tcW w:w="3135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Justification du choix</w:t>
            </w:r>
          </w:p>
        </w:tc>
      </w:tr>
      <w:tr>
        <w:trPr/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Langage backend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Python 3.12 + Flask 3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Écosystème riche, déploiement léger, extensibilité via Blueprints</w:t>
            </w:r>
          </w:p>
        </w:tc>
      </w:tr>
      <w:tr>
        <w:trPr/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Base de données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PostgreSQL 15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ACID, JSON natif, robustesse en production, migrations Alembic</w:t>
            </w:r>
          </w:p>
        </w:tc>
      </w:tr>
      <w:tr>
        <w:trPr/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Cache / Rate limiting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Redis 7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Structures atomiques (INCR/EXPIRE en O(1)), TTL natif, isolation par DB index</w:t>
            </w:r>
          </w:p>
        </w:tc>
      </w:tr>
      <w:tr>
        <w:trPr/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Framework frontend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React 18 + Vite 7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Composants réutilisables, build ESM optimisé, écosystème testing riche</w:t>
            </w:r>
          </w:p>
        </w:tc>
      </w:tr>
      <w:tr>
        <w:trPr/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Style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Tailwind CSS 4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Utilitaires CSS, responsive natif, dark mode facilité</w:t>
            </w:r>
          </w:p>
        </w:tc>
      </w:tr>
      <w:tr>
        <w:trPr/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Authentification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JWT (flask-jwt-extended)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Stateless, scalable, standard industrie</w:t>
            </w:r>
          </w:p>
        </w:tc>
      </w:tr>
      <w:tr>
        <w:trPr/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Envoi d'emails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SMTP natif (smtplib)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Zéro dépendance externe, compatible tout provider (Mailtrap, SES, SendGrid)</w:t>
            </w:r>
          </w:p>
        </w:tc>
      </w:tr>
      <w:tr>
        <w:trPr/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Déploiement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Docker Compose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Reproductibilité, isolation des services, simplicité de configuration</w:t>
            </w:r>
          </w:p>
        </w:tc>
      </w:tr>
      <w:tr>
        <w:trPr/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CI/CD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GitHub Actions</w:t>
            </w:r>
          </w:p>
        </w:tc>
        <w:tc>
          <w:tcPr>
            <w:tcW w:w="3135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Intégré au dépôt, marketplace d'actions, gratuit pour projets publics</w:t>
            </w:r>
          </w:p>
        </w:tc>
      </w:tr>
      <w:tr>
        <w:trPr/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Migrations DB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Alembic (Flask-Migrate)</w:t>
            </w:r>
          </w:p>
        </w:tc>
        <w:tc>
          <w:tcPr>
            <w:tcW w:w="3135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Versionnage du schéma, rollback possible, génération automatique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40" w:after="40"/>
        <w:rPr/>
      </w:pPr>
      <w:r>
        <w:rPr>
          <w:b w:val="false"/>
          <w:sz w:val="18"/>
        </w:rPr>
        <w:t>Trois environnements sont distingués : développement (docker-compose.dev.yml), staging (docker-compose.staging.yml — port 8080, 2 workers, logs DEBUG) et production (docker-compose.yml — port 80, 4 workers, logs INFO).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A5E9D"/>
        </w:rPr>
        <w:t>9. Architecture cible (vue synthétique)</w:t>
      </w:r>
    </w:p>
    <w:p>
      <w:pPr>
        <w:pStyle w:val="Normal"/>
        <w:spacing w:before="40" w:after="40"/>
        <w:rPr/>
      </w:pPr>
      <w:r>
        <w:rPr>
          <w:b w:val="false"/>
          <w:sz w:val="20"/>
        </w:rPr>
        <w:t>L'application est organisée en 4 couches séparées, déployées dans des conteneurs Docker distincts et communiquant via un réseau bridge isolé :</w:t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Couche présentation</w:t>
            </w:r>
          </w:p>
        </w:tc>
        <w:tc>
          <w:tcPr>
            <w:tcW w:w="4702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React 18 (SPA) — servi par Nginx sur port 80/8080</w:t>
            </w:r>
          </w:p>
        </w:tc>
      </w:tr>
      <w:tr>
        <w:trPr/>
        <w:tc>
          <w:tcPr>
            <w:tcW w:w="4703" w:type="dxa"/>
            <w:tcBorders/>
            <w:shd w:color="auto" w:fill="2874A6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Couche API</w:t>
            </w:r>
          </w:p>
        </w:tc>
        <w:tc>
          <w:tcPr>
            <w:tcW w:w="4702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Flask Blueprints — endpoints REST avec décorateurs JWT et rate limiting</w:t>
            </w:r>
          </w:p>
        </w:tc>
      </w:tr>
      <w:tr>
        <w:trPr/>
        <w:tc>
          <w:tcPr>
            <w:tcW w:w="4703" w:type="dxa"/>
            <w:tcBorders/>
            <w:shd w:color="auto" w:fill="2E86C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Couche service</w:t>
            </w:r>
          </w:p>
        </w:tc>
        <w:tc>
          <w:tcPr>
            <w:tcW w:w="4702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CampaignService, EmailService, TenantService, AuditService</w:t>
            </w:r>
          </w:p>
        </w:tc>
      </w:tr>
      <w:tr>
        <w:trPr/>
        <w:tc>
          <w:tcPr>
            <w:tcW w:w="4703" w:type="dxa"/>
            <w:tcBorders/>
            <w:shd w:color="auto" w:fill="3498DB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Couche accès données</w:t>
            </w:r>
          </w:p>
        </w:tc>
        <w:tc>
          <w:tcPr>
            <w:tcW w:w="4702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BaseRepository (SQLAlchemy ORM) → PostgreSQL 15 ; Redis 7 (compteurs)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40" w:after="40"/>
        <w:rPr/>
      </w:pPr>
      <w:r>
        <w:rPr>
          <w:b w:val="false"/>
          <w:sz w:val="18"/>
        </w:rPr>
        <w:t>Voir docs/architecture.pdf pour le diagramme complet.</w:t>
      </w:r>
    </w:p>
    <w:p>
      <w:pPr>
        <w:pStyle w:val="Heading1"/>
        <w:rPr/>
      </w:pPr>
      <w:r>
        <w:rPr>
          <w:color w:val="1A5E9D"/>
        </w:rPr>
        <w:t>10. Documents associés</w:t>
      </w:r>
    </w:p>
    <w:tbl>
      <w:tblPr>
        <w:tblStyle w:val="TableGrid"/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Référence</w:t>
            </w:r>
          </w:p>
        </w:tc>
        <w:tc>
          <w:tcPr>
            <w:tcW w:w="4702" w:type="dxa"/>
            <w:tcBorders/>
            <w:shd w:color="auto" w:fill="1A5E9D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Document</w:t>
            </w:r>
          </w:p>
        </w:tc>
      </w:tr>
      <w:tr>
        <w:trPr/>
        <w:tc>
          <w:tcPr>
            <w:tcW w:w="4703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Annexe A</w:t>
            </w:r>
          </w:p>
        </w:tc>
        <w:tc>
          <w:tcPr>
            <w:tcW w:w="4702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Diagramme entité-relation — docs/er-diagram.pdf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Annexe B</w:t>
            </w:r>
          </w:p>
        </w:tc>
        <w:tc>
          <w:tcPr>
            <w:tcW w:w="470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Diagramme d'architecture logicielle — docs/architecture.pdf</w:t>
            </w:r>
          </w:p>
        </w:tc>
      </w:tr>
      <w:tr>
        <w:trPr/>
        <w:tc>
          <w:tcPr>
            <w:tcW w:w="4703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Annexe C</w:t>
            </w:r>
          </w:p>
        </w:tc>
        <w:tc>
          <w:tcPr>
            <w:tcW w:w="4702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Maquettes de l'interface (wireframes) — docs/wireframes.pdf</w:t>
            </w:r>
          </w:p>
        </w:tc>
      </w:tr>
      <w:tr>
        <w:trPr/>
        <w:tc>
          <w:tcPr>
            <w:tcW w:w="4703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Annexe D</w:t>
            </w:r>
          </w:p>
        </w:tc>
        <w:tc>
          <w:tcPr>
            <w:tcW w:w="4702" w:type="dxa"/>
            <w:tcBorders/>
            <w:shd w:color="auto" w:fill="FFFFFF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Dossier de projet RNCP — docs/Dossier_Projet_PhishNet_RNCP37873.docx</w:t>
            </w:r>
          </w:p>
        </w:tc>
      </w:tr>
      <w:tr>
        <w:trPr/>
        <w:tc>
          <w:tcPr>
            <w:tcW w:w="4703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Annexe E</w:t>
            </w:r>
          </w:p>
        </w:tc>
        <w:tc>
          <w:tcPr>
            <w:tcW w:w="4702" w:type="dxa"/>
            <w:tcBorders/>
            <w:shd w:color="auto" w:fill="F2F8FD" w:val="clear"/>
          </w:tcPr>
          <w:p>
            <w:pPr>
              <w:pStyle w:val="Normal"/>
              <w:widowControl/>
              <w:spacing w:lineRule="auto" w:line="240" w:before="40" w:after="40"/>
              <w:jc w:val="left"/>
              <w:rPr>
                <w:rFonts w:ascii="Cambria" w:hAnsi="Cambria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Pipeline CI — .github/workflows/ci.yml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9</Pages>
  <Words>2007</Words>
  <Characters>11911</Characters>
  <CharactersWithSpaces>13593</CharactersWithSpaces>
  <Paragraphs>337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2026-06-04T16:54:08Z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