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b/>
          <w:color w:val="1A5E9D"/>
          <w:sz w:val="56"/>
        </w:rPr>
        <w:t>PhishNet</w:t>
      </w:r>
    </w:p>
    <w:p>
      <w:pPr>
        <w:jc w:val="center"/>
      </w:pPr>
      <w:r>
        <w:rPr>
          <w:color w:val="2874A6"/>
          <w:sz w:val="32"/>
        </w:rPr>
        <w:t>Cahier des charges fonctionnel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6EAF8"/>
          </w:tcPr>
          <w:p>
            <w:r>
              <w:rPr>
                <w:b/>
                <w:sz w:val="20"/>
              </w:rPr>
              <w:t>Projet</w:t>
            </w:r>
          </w:p>
        </w:tc>
        <w:tc>
          <w:tcPr>
            <w:tcW w:type="dxa" w:w="4703"/>
            <w:shd w:val="clear" w:color="auto" w:fill="D6EAF8"/>
          </w:tcPr>
          <w:p>
            <w:r>
              <w:rPr>
                <w:sz w:val="20"/>
              </w:rPr>
              <w:t>PhishNet : Plateforme B2B de simulation de phishing</w:t>
            </w:r>
          </w:p>
        </w:tc>
      </w:tr>
      <w:tr>
        <w:tc>
          <w:tcPr>
            <w:tcW w:type="dxa" w:w="4703"/>
            <w:shd w:val="clear" w:color="auto" w:fill="EBF5FB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703"/>
            <w:shd w:val="clear" w:color="auto" w:fill="EBF5FB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703"/>
            <w:shd w:val="clear" w:color="auto" w:fill="D6EAF8"/>
          </w:tcPr>
          <w:p>
            <w:r>
              <w:rPr>
                <w:b/>
                <w:sz w:val="20"/>
              </w:rPr>
              <w:t>Auteur</w:t>
            </w:r>
          </w:p>
        </w:tc>
        <w:tc>
          <w:tcPr>
            <w:tcW w:type="dxa" w:w="4703"/>
            <w:shd w:val="clear" w:color="auto" w:fill="D6EAF8"/>
          </w:tcPr>
          <w:p>
            <w:r>
              <w:rPr>
                <w:sz w:val="20"/>
              </w:rPr>
              <w:t>Diogo Gomes Lopes</w:t>
            </w:r>
          </w:p>
        </w:tc>
      </w:tr>
      <w:tr>
        <w:tc>
          <w:tcPr>
            <w:tcW w:type="dxa" w:w="4703"/>
            <w:shd w:val="clear" w:color="auto" w:fill="EBF5FB"/>
          </w:tcPr>
          <w:p>
            <w:r>
              <w:rPr>
                <w:b/>
                <w:sz w:val="20"/>
              </w:rPr>
              <w:t>Certification</w:t>
            </w:r>
          </w:p>
        </w:tc>
        <w:tc>
          <w:tcPr>
            <w:tcW w:type="dxa" w:w="4703"/>
            <w:shd w:val="clear" w:color="auto" w:fill="EBF5FB"/>
          </w:tcPr>
          <w:p>
            <w:r>
              <w:rPr>
                <w:sz w:val="20"/>
              </w:rPr>
              <w:t>TP Concepteur Développeur d'Applications, RNCP 37873 Niveau 6</w:t>
            </w:r>
          </w:p>
        </w:tc>
      </w:tr>
      <w:tr>
        <w:tc>
          <w:tcPr>
            <w:tcW w:type="dxa" w:w="4703"/>
            <w:shd w:val="clear" w:color="auto" w:fill="D6EAF8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4703"/>
            <w:shd w:val="clear" w:color="auto" w:fill="D6EAF8"/>
          </w:tcPr>
          <w:p>
            <w:r>
              <w:rPr>
                <w:sz w:val="20"/>
              </w:rPr>
              <w:t>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E9D"/>
        </w:rPr>
        <w:t>1. Contexte et problématique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D6EAF8"/>
          </w:tcPr>
          <w:p>
            <w:pPr>
              <w:spacing w:before="60" w:after="60"/>
            </w:pPr>
            <w:r>
              <w:rPr>
                <w:b/>
                <w:color w:val="1A5E9D"/>
                <w:sz w:val="22"/>
              </w:rPr>
              <w:t>1.1 Contexte métier</w:t>
            </w:r>
          </w:p>
        </w:tc>
      </w:tr>
    </w:tbl>
    <w:p/>
    <w:p>
      <w:pPr>
        <w:spacing w:before="40" w:after="40"/>
      </w:pPr>
      <w:r>
        <w:rPr>
          <w:b w:val="0"/>
          <w:sz w:val="20"/>
        </w:rPr>
        <w:t>Les attaques de phishing sont à l'origine de plus de 90 % des cyberattaques réussies (source : ANSSI 2023). La majorité des organisations ne disposent pas d'outils adaptés pour simuler ces attaques en conditions réelles et sensibiliser efficacement leurs collaborateurs.</w:t>
      </w:r>
    </w:p>
    <w:p>
      <w:pPr>
        <w:spacing w:before="40" w:after="40"/>
      </w:pPr>
      <w:r>
        <w:rPr>
          <w:b w:val="0"/>
          <w:sz w:val="20"/>
        </w:rPr>
        <w:t>Les solutions existantes (GoPhish, KnowBe4, Proofpoint Security Awareness) présentent des limitations importantes pour les PME : complexité d'auto-hébergement, coût élevé des licences SaaS, ou dépendance à des services tiers difficilement auditables.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D6EAF8"/>
          </w:tcPr>
          <w:p>
            <w:pPr>
              <w:spacing w:before="60" w:after="60"/>
            </w:pPr>
            <w:r>
              <w:rPr>
                <w:b/>
                <w:color w:val="1A5E9D"/>
                <w:sz w:val="22"/>
              </w:rPr>
              <w:t>1.2 Problématique</w:t>
            </w:r>
          </w:p>
        </w:tc>
      </w:tr>
    </w:tbl>
    <w:p/>
    <w:p>
      <w:pPr>
        <w:spacing w:before="40" w:after="40"/>
      </w:pPr>
      <w:r>
        <w:rPr>
          <w:b w:val="0"/>
          <w:sz w:val="20"/>
        </w:rPr>
        <w:t>Comment fournir aux équipes sécurité des organisations de taille moyenne une plateforme B2B multi-tenant, auto-hébergeable et conforme RGPD, permettant de conduire des campagnes de phishing simulées, de mesurer la vigilance des collaborateurs et de produire des rapports d'audit exploitables ?</w:t>
      </w:r>
    </w:p>
    <w:p/>
    <w:p>
      <w:pPr>
        <w:pStyle w:val="Heading1"/>
      </w:pPr>
      <w:r>
        <w:rPr>
          <w:color w:val="1A5E9D"/>
        </w:rPr>
        <w:t>2. Objectifs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135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Objectif</w:t>
            </w:r>
          </w:p>
        </w:tc>
        <w:tc>
          <w:tcPr>
            <w:tcW w:type="dxa" w:w="3135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Indicateur de succès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O1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Permettre à une organisation de lancer des campagnes de phishing simulées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Campagne créée et emails envoyés en &lt; 60 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O2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Suivre le comportement des cibles (ouverture, clic, soumission, signalement volontaire)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Précision du tracking &gt; 99 %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O3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Isoler strictement les données de chaque client (multi-tenant)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Zéro fuite de données inter-tenant en tests d'intégration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O4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Respecter les obligations RGPD (droit à l'effacement, Art. 17)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Anonymisation effective des PII sur demande, audit log conservé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O5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Fournir une interface accessible conforme RGAA (WCAG 2.1 AA)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Zéro violation détectée par jest-axe (basé sur axe-core) en CI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O6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Déploiement reproductible en environnement de production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Stack complète opérationnelle via docker compose up en &lt; 2 min</w:t>
            </w:r>
          </w:p>
        </w:tc>
      </w:tr>
    </w:tbl>
    <w:p/>
    <w:p>
      <w:pPr>
        <w:pStyle w:val="Heading1"/>
      </w:pPr>
      <w:r>
        <w:rPr>
          <w:color w:val="1A5E9D"/>
        </w:rPr>
        <w:t>3. Périmètre fonctionnel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D6EAF8"/>
          </w:tcPr>
          <w:p>
            <w:pPr>
              <w:spacing w:before="60" w:after="60"/>
            </w:pPr>
            <w:r>
              <w:rPr>
                <w:b/>
                <w:color w:val="1A5E9D"/>
                <w:sz w:val="22"/>
              </w:rPr>
              <w:t>3.1 Fonctionnalités incluses (v1)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sz w:val="20"/>
        </w:rPr>
        <w:t>Authentification JWT (cookie HttpOnly) avec gestion des rôles (Admin / Opérateur) et permissions granulaires</w:t>
      </w:r>
    </w:p>
    <w:p>
      <w:pPr>
        <w:pStyle w:val="ListBullet"/>
        <w:spacing w:before="20" w:after="20"/>
        <w:ind w:left="283"/>
      </w:pPr>
      <w:r>
        <w:rPr>
          <w:sz w:val="20"/>
        </w:rPr>
        <w:t>Multi-tenancy avec codes d'invitation horodatés à usage unique</w:t>
      </w:r>
    </w:p>
    <w:p>
      <w:pPr>
        <w:pStyle w:val="ListBullet"/>
        <w:spacing w:before="20" w:after="20"/>
        <w:ind w:left="283"/>
      </w:pPr>
      <w:r>
        <w:rPr>
          <w:sz w:val="20"/>
        </w:rPr>
        <w:t>Gestion des templates (email HTML + landing page HTML avec placeholders)</w:t>
      </w:r>
    </w:p>
    <w:p>
      <w:pPr>
        <w:pStyle w:val="ListBullet"/>
        <w:spacing w:before="20" w:after="20"/>
        <w:ind w:left="283"/>
      </w:pPr>
      <w:r>
        <w:rPr>
          <w:sz w:val="20"/>
        </w:rPr>
        <w:t>Campagnes de phishing avec moteur SMTP natif (STARTTLS port 587 / SSL port 465)</w:t>
      </w:r>
    </w:p>
    <w:p>
      <w:pPr>
        <w:pStyle w:val="ListBullet"/>
        <w:spacing w:before="20" w:after="20"/>
        <w:ind w:left="283"/>
      </w:pPr>
      <w:r>
        <w:rPr>
          <w:sz w:val="20"/>
        </w:rPr>
        <w:t>Campagnes planifiées (envoi différé via APScheduler, statut SCHEDULED)</w:t>
      </w:r>
    </w:p>
    <w:p>
      <w:pPr>
        <w:pStyle w:val="ListBullet"/>
        <w:spacing w:before="20" w:after="20"/>
        <w:ind w:left="283"/>
      </w:pPr>
      <w:r>
        <w:rPr>
          <w:sz w:val="20"/>
        </w:rPr>
        <w:t>Tracking : ouverture (pixel GIF 1×1 /px/), clic (/r/ → /secure/), soumission (/secure/ POST), signalement (/report/)</w:t>
      </w:r>
    </w:p>
    <w:p>
      <w:pPr>
        <w:pStyle w:val="ListBullet"/>
        <w:spacing w:before="20" w:after="20"/>
        <w:ind w:left="283"/>
      </w:pPr>
      <w:r>
        <w:rPr>
          <w:sz w:val="20"/>
        </w:rPr>
        <w:t>Tableau de bord avec statistiques pré-agrégées en temps réel par campagne</w:t>
      </w:r>
    </w:p>
    <w:p>
      <w:pPr>
        <w:pStyle w:val="ListBullet"/>
        <w:spacing w:before="20" w:after="20"/>
        <w:ind w:left="283"/>
      </w:pPr>
      <w:r>
        <w:rPr>
          <w:sz w:val="20"/>
        </w:rPr>
        <w:t>Gestion des cibles (ajout, suppression, détection de doublons)</w:t>
      </w:r>
    </w:p>
    <w:p>
      <w:pPr>
        <w:pStyle w:val="ListBullet"/>
        <w:spacing w:before="20" w:after="20"/>
        <w:ind w:left="283"/>
      </w:pPr>
      <w:r>
        <w:rPr>
          <w:sz w:val="20"/>
        </w:rPr>
        <w:t>Journal d'audit horodaté avec export CSV</w:t>
      </w:r>
    </w:p>
    <w:p>
      <w:pPr>
        <w:pStyle w:val="ListBullet"/>
        <w:spacing w:before="20" w:after="20"/>
        <w:ind w:left="283"/>
      </w:pPr>
      <w:r>
        <w:rPr>
          <w:sz w:val="20"/>
        </w:rPr>
        <w:t>Droit à l'effacement RGPD (Art. 17), anonymisation des PII dans l'historique</w:t>
      </w:r>
    </w:p>
    <w:p>
      <w:pPr>
        <w:pStyle w:val="ListBullet"/>
        <w:spacing w:before="20" w:after="20"/>
        <w:ind w:left="283"/>
      </w:pPr>
      <w:r>
        <w:rPr>
          <w:sz w:val="20"/>
        </w:rPr>
        <w:t>Déploiement Docker Compose (PostgreSQL 15 + Redis 7 + Flask + React/Nginx)</w:t>
      </w:r>
    </w:p>
    <w:p>
      <w:pPr>
        <w:pStyle w:val="ListBullet"/>
        <w:spacing w:before="20" w:after="20"/>
        <w:ind w:left="283"/>
      </w:pPr>
      <w:r>
        <w:rPr>
          <w:sz w:val="20"/>
        </w:rPr>
        <w:t>Pipeline CI/CD GitHub Actions (tests + lint + build + push image Docker)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DEBD0"/>
          </w:tcPr>
          <w:p>
            <w:pPr>
              <w:spacing w:before="60" w:after="60"/>
            </w:pPr>
            <w:r>
              <w:rPr>
                <w:b/>
                <w:color w:val="784212"/>
                <w:sz w:val="22"/>
              </w:rPr>
              <w:t>3.2 Fonctionnalités exclues (hors périmètre v1)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sz w:val="20"/>
        </w:rPr>
        <w:t>Génération automatique de rapports PDF</w:t>
      </w:r>
    </w:p>
    <w:p>
      <w:pPr>
        <w:pStyle w:val="ListBullet"/>
        <w:spacing w:before="20" w:after="20"/>
        <w:ind w:left="283"/>
      </w:pPr>
      <w:r>
        <w:rPr>
          <w:sz w:val="20"/>
        </w:rPr>
        <w:t>Intégration SSO / LDAP / Active Directory</w:t>
      </w:r>
    </w:p>
    <w:p>
      <w:pPr>
        <w:pStyle w:val="ListBullet"/>
        <w:spacing w:before="20" w:after="20"/>
        <w:ind w:left="283"/>
      </w:pPr>
      <w:r>
        <w:rPr>
          <w:sz w:val="20"/>
        </w:rPr>
        <w:t>Notifications temps réel (WebSocket / Server-Sent Events)</w:t>
      </w:r>
    </w:p>
    <w:p>
      <w:pPr>
        <w:pStyle w:val="ListBullet"/>
        <w:spacing w:before="20" w:after="20"/>
        <w:ind w:left="283"/>
      </w:pPr>
      <w:r>
        <w:rPr>
          <w:sz w:val="20"/>
        </w:rPr>
        <w:t>Application mobile native (iOS / Android)</w:t>
      </w:r>
    </w:p>
    <w:p>
      <w:pPr>
        <w:pStyle w:val="ListBullet"/>
        <w:spacing w:before="20" w:after="20"/>
        <w:ind w:left="283"/>
      </w:pPr>
      <w:r>
        <w:rPr>
          <w:sz w:val="20"/>
        </w:rPr>
        <w:t>Module de formation e-learning intégré</w:t>
      </w:r>
    </w:p>
    <w:p>
      <w:pPr>
        <w:pStyle w:val="ListBullet"/>
        <w:spacing w:before="20" w:after="20"/>
        <w:ind w:left="283"/>
      </w:pPr>
      <w:r>
        <w:rPr>
          <w:sz w:val="20"/>
        </w:rPr>
        <w:t>Internationalisation (i18n) de l'interface</w:t>
      </w:r>
    </w:p>
    <w:p/>
    <w:p>
      <w:pPr>
        <w:pStyle w:val="Heading1"/>
      </w:pPr>
      <w:r>
        <w:rPr>
          <w:color w:val="1A5E9D"/>
        </w:rPr>
        <w:t>4. Parties prenantes et personas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Persona</w:t>
            </w:r>
          </w:p>
        </w:tc>
        <w:tc>
          <w:tcPr>
            <w:tcW w:type="dxa" w:w="1881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Rôle système</w:t>
            </w:r>
          </w:p>
        </w:tc>
        <w:tc>
          <w:tcPr>
            <w:tcW w:type="dxa" w:w="1881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Profil</w:t>
            </w:r>
          </w:p>
        </w:tc>
        <w:tc>
          <w:tcPr>
            <w:tcW w:type="dxa" w:w="1881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Besoins principaux</w:t>
            </w:r>
          </w:p>
        </w:tc>
        <w:tc>
          <w:tcPr>
            <w:tcW w:type="dxa" w:w="1881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Contraintes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Administrateur système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Admin global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DSI ou responsable sécurité, maîtrise technique élevée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Gérer tous les tenants, accéder aux templates globaux, superviser l'ensemble des comptes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Accès total à la plateforme, responsabilité réglementaire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Opérateur de tenant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Opérateur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Responsable sécurité d'une entreprise cliente, profil semi-technique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Créer et piloter des campagnes, gérer les cibles et les utilisateurs de son organisation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Périmètre limité à son tenant, aucune visibilité sur les autres tenants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Opérateur restreint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Opérateur (permissions limitées)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Membre de l'équipe sécurité, non-technique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Consulter les résultats et statistiques de campagnes, exporter les logs d'audit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Permissions granulaires gérées par l'admin du tenant, ex. lecture seule si aucun manage_* accordé</w:t>
            </w:r>
          </w:p>
        </w:tc>
      </w:tr>
    </w:tbl>
    <w:p/>
    <w:p>
      <w:pPr>
        <w:pStyle w:val="Heading1"/>
      </w:pPr>
      <w:r>
        <w:rPr>
          <w:color w:val="1A5E9D"/>
        </w:rPr>
        <w:t>5. Exigences fonctionnelles</w:t>
      </w:r>
    </w:p>
    <w:p>
      <w:pPr>
        <w:spacing w:before="40" w:after="40"/>
      </w:pPr>
      <w:r>
        <w:rPr>
          <w:b w:val="0"/>
          <w:sz w:val="18"/>
        </w:rPr>
        <w:t>Les exigences sont priorisées selon la méthode MoSCoW : MUST (obligatoire), SHOULD (important), COULD (optionnel), WON'T (hors périmètre v1).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81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881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1881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Priorité</w:t>
            </w:r>
          </w:p>
        </w:tc>
        <w:tc>
          <w:tcPr>
            <w:tcW w:type="dxa" w:w="1881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Critère d'acceptation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EF01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Auth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L'utilisateur peut se connecter avec email + mot de passe et s'authentifier (JWT dans un cookie HttpOnly)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JWT défini dans un cookie HttpOnly via Set-Cookie ; rejet si credentials invalides → 401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EF02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Auth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L'inscription nécessite un code d'invitation valide lié à un tenant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Rejet si code inexistant, expiré ou déjà utilisé → 400/409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EF03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Auth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Blocage temporaire après 5 tentatives de connexion par minute (anti-brute-force)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Réponse 429 Too Many Requests dès la 6e tentative dans la fenêtre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EF04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Tenant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L'admin peut créer, modifier et supprimer des tenants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CRUD complet ; suppression bloquée si le tenant possède des utilisateurs (actifs ou non)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EF05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Tenant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L'opérateur peut générer des codes d'invitation pour son tenant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Token unique secrets.token_urlsafe(32) (43 caractères), expiration configurable, utilisable une seule fois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EF06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Cibles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L'opérateur peut ajouter et supprimer des cibles (email, prénom, nom, poste)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Détection de doublon sur l'email par tenant ; isolation totale inter-tenant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EF07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Templates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L'admin peut créer des templates avec sujet, corps HTML email et landing page HTML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Placeholders {{.Email}}, {{.FirstName}}, {{.LastName}}, {{.Position}}, {{TRACKING_PIXEL}}, {{CLICK_URL}}, {{FORM_ACTION}}, {{REPORT_URL}} substitués à l'envoi ou à l'affichage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EF08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Campagnes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L'opérateur peut créer une campagne, envoi immédiat ou planifié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Email envoyé à chaque cible avec token UUID unique ; statut RUNNING (immédiat) ou SCHEDULED (scheduled_start_at dans le futur, APScheduler déclenche l'envoi)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EF09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Campagnes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L'opérateur peut arrêter une campagne en cours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Statut passe à STOPPED ; tracking des événements reste actif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EF10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Tracking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Détection d'ouverture d'email via pixel GIF 1×1 intégré dans le corps du message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GET /px/&lt;token&gt; retourne image/gif (43 octets, hardcodé) ; enregistrement idempotent de opened_at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EF11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Tracking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Détection du clic sur le lien piégé avec redirection vers la landing page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GET /r/&lt;token&gt; enregistre clicked_at ; redirection 302 vers /secure/&lt;token&gt;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EF12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Tracking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Enregistrement de la soumission de formulaire sur la landing page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POST /secure/&lt;token&gt; persiste submitted_at (credentials non stockés) ; redirection 302 vers /caught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EF13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Tracking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Signalement volontaire de phishing par la cible (comportement positif)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GET /report/&lt;token&gt; enregistre reported_at et reported_count ; redirection 302 vers /caught?reported=true (rate limit 10/h/IP)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EF14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Stats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Tableau de bord affichant en temps réel : envoyés / ouverts / cliqués / soumis / signalés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Compteurs pré-agrégés dans campaign_stats (O(1)), mise à jour incrémentale à chaque événement de tracking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EF15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Audit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Journal de toutes les actions admin et opérateur (login, création, suppression, etc.)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Entrée horodatée avec IP, user_id, type d'action et détails JSON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EF16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Audit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Export du journal d'audit au format CSV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Fichier CSV téléchargeable depuis l'interface, encodage UTF-8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EF17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RGPD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Suppression d'une cible avec anonymisation de ses données dans l'historique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nom/prénom remplacés par [Supprimé], email remplacé par deleted@anonymized.local, poste vidé dans campaign_results ; statistiques agrégées conservées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EF18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Sécurité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Toutes les données sont strictement isolées par tenant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Chaque requête API filtre par tenant_id issu de la base (via user_id dans le JWT) ; tests d'isolation en suite de tests</w:t>
            </w:r>
          </w:p>
        </w:tc>
      </w:tr>
      <w:tr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EF19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UI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Interface utilisable sur mobile (responsive)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1881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Rendu correct sur viewport 375 px (iPhone SE) via Tailwind CSS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EF20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Accessibilité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Interface conforme WCAG 2.1 niveau AA (RGAA)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1881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Zéro violation détectée par jest-axe (basé sur axe-core) dans la suite Vitest</w:t>
            </w:r>
          </w:p>
        </w:tc>
      </w:tr>
    </w:tbl>
    <w:p/>
    <w:p>
      <w:pPr>
        <w:pStyle w:val="Heading1"/>
      </w:pPr>
      <w:r>
        <w:rPr>
          <w:color w:val="1A5E9D"/>
        </w:rPr>
        <w:t>6. User stories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US-01 : Authentification</w:t>
            </w:r>
          </w:p>
          <w:p>
            <w:r>
              <w:rPr>
                <w:b/>
                <w:sz w:val="20"/>
              </w:rPr>
              <w:t xml:space="preserve">En tant que opérateur, </w:t>
            </w:r>
            <w:r>
              <w:rPr>
                <w:sz w:val="20"/>
              </w:rPr>
              <w:t xml:space="preserve">je veux me connecter avec mon email et mon mot de passe </w:t>
            </w:r>
            <w:r>
              <w:rPr>
                <w:i/>
                <w:sz w:val="20"/>
              </w:rPr>
              <w:t>afin de accéder à mon espace de travail sécurisé.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Échec si email inconnu ou mot de passe incorrect → réponse 401 avec message explicite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Blocage après 5 tentatives en 1 minute → réponse 429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JWT défini dans un cookie HttpOnly avec une durée de vie de 1 heure (fixée dans le code)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US-02 : Inscription</w:t>
            </w:r>
          </w:p>
          <w:p>
            <w:r>
              <w:rPr>
                <w:b/>
                <w:sz w:val="20"/>
              </w:rPr>
              <w:t xml:space="preserve">En tant que nouvel utilisateur, </w:t>
            </w:r>
            <w:r>
              <w:rPr>
                <w:sz w:val="20"/>
              </w:rPr>
              <w:t xml:space="preserve">je veux m'inscrire via un code d'invitation </w:t>
            </w:r>
            <w:r>
              <w:rPr>
                <w:i/>
                <w:sz w:val="20"/>
              </w:rPr>
              <w:t>afin de accéder à la plateforme de mon organisation.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Code invalide ou expiré → message d'erreur explicite sans révéler les détails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Email déjà utilisé → 409 Conflict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Mot de passe minimum 6 caractères ; validation côté client et côté serveur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Code marqué comme utilisé après inscription réussie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US-03 : Création de campagne</w:t>
            </w:r>
          </w:p>
          <w:p>
            <w:r>
              <w:rPr>
                <w:b/>
                <w:sz w:val="20"/>
              </w:rPr>
              <w:t xml:space="preserve">En tant que opérateur, </w:t>
            </w:r>
            <w:r>
              <w:rPr>
                <w:sz w:val="20"/>
              </w:rPr>
              <w:t xml:space="preserve">je veux créer une campagne de phishing à partir d'un template existant </w:t>
            </w:r>
            <w:r>
              <w:rPr>
                <w:i/>
                <w:sz w:val="20"/>
              </w:rPr>
              <w:t>afin de tester la vigilance de mes collaborateurs sur un scénario réaliste.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Impossible si aucune cible n'est enregistrée dans le tenant → message d'erreur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Un email personnalisé (placeholders résolus) est envoyé à chaque cible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Un token UUID unique est généré par cible pour le tracking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La campagne apparaît dans la liste avec le statut RUNNING (immédiat) ou SCHEDULED (planifié)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US-04 : Suivi des résultats</w:t>
            </w:r>
          </w:p>
          <w:p>
            <w:r>
              <w:rPr>
                <w:b/>
                <w:sz w:val="20"/>
              </w:rPr>
              <w:t xml:space="preserve">En tant que opérateur, </w:t>
            </w:r>
            <w:r>
              <w:rPr>
                <w:sz w:val="20"/>
              </w:rPr>
              <w:t xml:space="preserve">je veux consulter les résultats d'une campagne en temps réel </w:t>
            </w:r>
            <w:r>
              <w:rPr>
                <w:i/>
                <w:sz w:val="20"/>
              </w:rPr>
              <w:t>afin de mesurer l'exposition de mon organisation et identifier les cibles à risque.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Compteurs affichés : envoyés / ouverts / cliqués / soumis / signalés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Pourcentages calculés automatiquement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Liste des cibles avec horodatage de chaque événement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US-05 : Gestion des cibles</w:t>
            </w:r>
          </w:p>
          <w:p>
            <w:r>
              <w:rPr>
                <w:b/>
                <w:sz w:val="20"/>
              </w:rPr>
              <w:t xml:space="preserve">En tant que opérateur, </w:t>
            </w:r>
            <w:r>
              <w:rPr>
                <w:sz w:val="20"/>
              </w:rPr>
              <w:t xml:space="preserve">je veux ajouter et supprimer des cibles de phishing </w:t>
            </w:r>
            <w:r>
              <w:rPr>
                <w:i/>
                <w:sz w:val="20"/>
              </w:rPr>
              <w:t>afin de maintenir à jour la liste des collaborateurs à sensibiliser.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Champs requis : email (format valide), prénom, nom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Rejet si l'email est déjà présent dans le tenant → message de doublon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Suppression simple ou suppression avec effacement RGPD au choix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US-06 : Effacement RGPD</w:t>
            </w:r>
          </w:p>
          <w:p>
            <w:r>
              <w:rPr>
                <w:b/>
                <w:sz w:val="20"/>
              </w:rPr>
              <w:t xml:space="preserve">En tant que opérateur, </w:t>
            </w:r>
            <w:r>
              <w:rPr>
                <w:sz w:val="20"/>
              </w:rPr>
              <w:t xml:space="preserve">je veux exercer le droit à l'effacement d'une cible (Art. 17 RGPD) </w:t>
            </w:r>
            <w:r>
              <w:rPr>
                <w:i/>
                <w:sz w:val="20"/>
              </w:rPr>
              <w:t>afin de respecter les obligations réglementaires de mon organisation.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PII anonymisés dans tous les résultats de campagnes passées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Statistiques agrégées conservées (pas d'impact sur les métriques)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Entrée d'audit créée pour tracer la demande d'effacement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US-07 : Gestion des templates (admin)</w:t>
            </w:r>
          </w:p>
          <w:p>
            <w:r>
              <w:rPr>
                <w:b/>
                <w:sz w:val="20"/>
              </w:rPr>
              <w:t xml:space="preserve">En tant que administrateur, </w:t>
            </w:r>
            <w:r>
              <w:rPr>
                <w:sz w:val="20"/>
              </w:rPr>
              <w:t xml:space="preserve">je veux créer et modifier des templates de phishing réalistes </w:t>
            </w:r>
            <w:r>
              <w:rPr>
                <w:i/>
                <w:sz w:val="20"/>
              </w:rPr>
              <w:t>afin de proposer des scénarios variés et crédibles aux tenants.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Éditeur de corps HTML email et landing page HTML (deux zones &lt;textarea&gt;)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Placeholders disponibles : {{.FirstName}}, {{.LastName}}, {{.Email}}, {{.Position}}, {{TRACKING_PIXEL}}, {{CLICK_URL}}, {{FORM_ACTION}}, {{REPORT_URL}}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US-08 : Journal d'audit</w:t>
            </w:r>
          </w:p>
          <w:p>
            <w:r>
              <w:rPr>
                <w:b/>
                <w:sz w:val="20"/>
              </w:rPr>
              <w:t xml:space="preserve">En tant que opérateur, </w:t>
            </w:r>
            <w:r>
              <w:rPr>
                <w:sz w:val="20"/>
              </w:rPr>
              <w:t xml:space="preserve">je veux consulter le journal d'audit de mon organisation </w:t>
            </w:r>
            <w:r>
              <w:rPr>
                <w:i/>
                <w:sz w:val="20"/>
              </w:rPr>
              <w:t>afin de prouver la conformité des opérations lors d'un audit interne ou réglementaire.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Filtrage par utilisateur, type d'action et type de ressource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Pagination des entrées (affichage par pages)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US-09 : Export des journaux d'audit</w:t>
            </w:r>
          </w:p>
          <w:p>
            <w:r>
              <w:rPr>
                <w:b/>
                <w:sz w:val="20"/>
              </w:rPr>
              <w:t xml:space="preserve">En tant que opérateur, </w:t>
            </w:r>
            <w:r>
              <w:rPr>
                <w:sz w:val="20"/>
              </w:rPr>
              <w:t xml:space="preserve">je veux exporter le journal d'audit au format CSV </w:t>
            </w:r>
            <w:r>
              <w:rPr>
                <w:i/>
                <w:sz w:val="20"/>
              </w:rPr>
              <w:t>afin de fournir une traçabilité à la direction ou à un auditeur externe.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Export CSV filtrable, téléchargeable directement depuis l'interface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US-10 : Invitation de membres</w:t>
            </w:r>
          </w:p>
          <w:p>
            <w:r>
              <w:rPr>
                <w:b/>
                <w:sz w:val="20"/>
              </w:rPr>
              <w:t xml:space="preserve">En tant que opérateur, </w:t>
            </w:r>
            <w:r>
              <w:rPr>
                <w:sz w:val="20"/>
              </w:rPr>
              <w:t xml:space="preserve">je veux inviter des membres dans mon organisation </w:t>
            </w:r>
            <w:r>
              <w:rPr>
                <w:i/>
                <w:sz w:val="20"/>
              </w:rPr>
              <w:t>afin de partager la gestion de la plateforme avec mon équipe.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Quick Code à usage unique, ou invitation par email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Membre visible en statut Pending jusqu'à son inscription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US-11 : Réception d'un email simulé</w:t>
            </w:r>
          </w:p>
          <w:p>
            <w:r>
              <w:rPr>
                <w:b/>
                <w:sz w:val="20"/>
              </w:rPr>
              <w:t xml:space="preserve">En tant que cible, </w:t>
            </w:r>
            <w:r>
              <w:rPr>
                <w:sz w:val="20"/>
              </w:rPr>
              <w:t xml:space="preserve">je veux recevoir un email de phishing simulé réaliste </w:t>
            </w:r>
            <w:r>
              <w:rPr>
                <w:i/>
                <w:sz w:val="20"/>
              </w:rPr>
              <w:t>afin de être sensibilisée en conditions réelles, sans le savoir a priori.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Email personnalisé (prénom, nom), avec pixel et liens de tracking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Rendu indiscernable d'un véritable email de phishing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BF5FB"/>
          </w:tcPr>
          <w:p>
            <w:pPr>
              <w:spacing w:before="60"/>
            </w:pPr>
            <w:r>
              <w:rPr>
                <w:b/>
                <w:color w:val="2874A6"/>
                <w:sz w:val="18"/>
              </w:rPr>
              <w:t>US-12 : Page pédagogique</w:t>
            </w:r>
          </w:p>
          <w:p>
            <w:r>
              <w:rPr>
                <w:b/>
                <w:sz w:val="20"/>
              </w:rPr>
              <w:t xml:space="preserve">En tant que cible, </w:t>
            </w:r>
            <w:r>
              <w:rPr>
                <w:sz w:val="20"/>
              </w:rPr>
              <w:t xml:space="preserve">je veux voir une page pédagogique après avoir soumis mes identifiants </w:t>
            </w:r>
            <w:r>
              <w:rPr>
                <w:i/>
                <w:sz w:val="20"/>
              </w:rPr>
              <w:t>afin de comprendre la menace et adopter les bons réflexes.</w:t>
            </w:r>
          </w:p>
          <w:p>
            <w:r>
              <w:rPr>
                <w:b/>
                <w:color w:val="1A5E9D"/>
                <w:sz w:val="18"/>
              </w:rPr>
              <w:t>Critères d'acceptation :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Redirection vers une page /caught explicative</w:t>
            </w:r>
          </w:p>
          <w:p>
            <w:pPr>
              <w:spacing w:before="20" w:after="20"/>
              <w:ind w:left="227"/>
            </w:pPr>
            <w:r>
              <w:rPr>
                <w:sz w:val="18"/>
              </w:rPr>
              <w:t>• Aucun identifiant réellement stocké (seul l'événement est enregistré)</w:t>
            </w:r>
          </w:p>
        </w:tc>
      </w:tr>
    </w:tbl>
    <w:p/>
    <w:p>
      <w:pPr>
        <w:pStyle w:val="Heading1"/>
      </w:pPr>
      <w:r>
        <w:rPr>
          <w:color w:val="1A5E9D"/>
        </w:rPr>
        <w:t>7. Exigences non fonctionnelles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Catégorie</w:t>
            </w:r>
          </w:p>
        </w:tc>
        <w:tc>
          <w:tcPr>
            <w:tcW w:type="dxa" w:w="3135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Mesure / Référentiel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Performance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Envoi throttlé à ~1 email/1,2 s (anti-spam SMTP), traçable par cible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Délai volontaire entre envois pour éviter le blocage par le serveur SMTP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Performance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Temps de réponse API &lt; 500 ms (p95) hors SMTP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Logs Gunicorn, monitoring applicatif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Sécurité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Mots de passe hachés avec Bcrypt (cost factor ≥ 12)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OWASP ASVS v4, section 2.4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Sécurité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Toutes les requêtes SQL via ORM (protection injection)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OWASP Top 10, A03:2021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Sécurité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Rate limiting sur les endpoints d'authentification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OWASP API Security Top 10, API4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Sécurité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CORS restreint aux origines configurées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ANSSI : Guide de développement web sécurisé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Accessibilité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Conformité WCAG 2.1 niveau AA (RGAA)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Validation jest-axe (axe-core) automatisée en CI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Accessibilité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Navigation clavier complète (tabindex, focus visible)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RGAA critère 12.1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Disponibilité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Redémarrage automatique des conteneurs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Docker restart: unless-stopped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RGPD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Aucune donnée personnelle en clair dans les logs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RGPD Art. 5.1.f, intégrité et confidentialité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RGPD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Droit à l'effacement (Art. 17) implémenté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Anonymisation des PII dans l'historique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Maintenabilité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Couverture de tests backend ≥ 80 %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Rapport pytest-cov : artefact GitHub Actions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Maintenabilité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Pipeline CI verte à chaque push sur main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GitHub Actions : tests + lint + build</w:t>
            </w:r>
          </w:p>
        </w:tc>
      </w:tr>
    </w:tbl>
    <w:p/>
    <w:p>
      <w:pPr>
        <w:pStyle w:val="Heading1"/>
      </w:pPr>
      <w:r>
        <w:rPr>
          <w:color w:val="1A5E9D"/>
        </w:rPr>
        <w:t>8. Contraintes techniques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Composant</w:t>
            </w:r>
          </w:p>
        </w:tc>
        <w:tc>
          <w:tcPr>
            <w:tcW w:type="dxa" w:w="3135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Technologie retenue</w:t>
            </w:r>
          </w:p>
        </w:tc>
        <w:tc>
          <w:tcPr>
            <w:tcW w:type="dxa" w:w="3135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Justification du choix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Langage backend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Python 3.11 + Flask 3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Écosystème riche, déploiement léger, extensibilité via Blueprints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Base de données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PostgreSQL 15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ACID, JSON natif, robustesse en production, migrations Alembic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Cache / Rate limiting / Sessions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Redis 7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Flask-Limiter storage backend + blocklist JWT (révocation, TTL natif) + structures atomiques INCR/EXPIRE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Framework frontend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React 18 + Vite 7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Composants réutilisables, build ESM optimisé, écosystème testing riche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Style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Tailwind CSS 4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Utilitaires CSS, responsive natif, dark mode facilité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Authentification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JWT (flask-jwt-extended)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Stateless, scalable, standard industrie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Envoi d'emails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SMTP natif (smtplib)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Zéro dépendance externe, compatible avec n'importe quel serveur SMTP standard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Déploiement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Docker Compose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Reproductibilité, isolation des services, simplicité de configuration</w:t>
            </w:r>
          </w:p>
        </w:tc>
      </w:tr>
      <w:tr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CI/CD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GitHub Actions</w:t>
            </w:r>
          </w:p>
        </w:tc>
        <w:tc>
          <w:tcPr>
            <w:tcW w:type="dxa" w:w="3135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Intégré au dépôt, marketplace d'actions, gratuit pour projets publics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Migrations DB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Alembic (Flask-Migrate)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Versionnage du schéma, rollback possible, génération automatique</w:t>
            </w:r>
          </w:p>
        </w:tc>
      </w:tr>
    </w:tbl>
    <w:p/>
    <w:p>
      <w:pPr>
        <w:spacing w:before="40" w:after="40"/>
      </w:pPr>
      <w:r>
        <w:rPr>
          <w:b w:val="0"/>
          <w:sz w:val="18"/>
        </w:rPr>
        <w:t>Trois environnements sont distingués : développement (docker-compose.dev.yml), staging (docker-compose.staging.yml, port 8080, 2 workers, logs DEBUG) et production (docker-compose.yml, port 80, 4 workers, logs INFO).</w:t>
      </w:r>
    </w:p>
    <w:p/>
    <w:p>
      <w:pPr>
        <w:pStyle w:val="Heading1"/>
      </w:pPr>
      <w:r>
        <w:rPr>
          <w:color w:val="1A5E9D"/>
        </w:rPr>
        <w:t>9. Architecture cible (vue synthétique)</w:t>
      </w:r>
    </w:p>
    <w:p>
      <w:pPr>
        <w:spacing w:before="40" w:after="40"/>
      </w:pPr>
      <w:r>
        <w:rPr>
          <w:b w:val="0"/>
          <w:sz w:val="20"/>
        </w:rPr>
        <w:t>L'application est organisée en 4 couches séparées, déployées dans des conteneurs Docker distincts et communiquant via un réseau bridge isolé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Couche présentation</w:t>
            </w:r>
          </w:p>
        </w:tc>
        <w:tc>
          <w:tcPr>
            <w:tcW w:type="dxa" w:w="4703"/>
            <w:shd w:val="clear" w:color="auto" w:fill="F2F8FD"/>
          </w:tcPr>
          <w:p>
            <w:r>
              <w:rPr>
                <w:sz w:val="18"/>
              </w:rPr>
              <w:t>React 18 (SPA) : servi par Nginx sur port 80/8080</w:t>
            </w:r>
          </w:p>
        </w:tc>
      </w:tr>
      <w:tr>
        <w:tc>
          <w:tcPr>
            <w:tcW w:type="dxa" w:w="4703"/>
            <w:shd w:val="clear" w:color="auto" w:fill="2874A6"/>
          </w:tcPr>
          <w:p>
            <w:r>
              <w:rPr>
                <w:b/>
                <w:color w:val="FFFFFF"/>
                <w:sz w:val="18"/>
              </w:rPr>
              <w:t>Couche API</w:t>
            </w:r>
          </w:p>
        </w:tc>
        <w:tc>
          <w:tcPr>
            <w:tcW w:type="dxa" w:w="4703"/>
            <w:shd w:val="clear" w:color="auto" w:fill="F2F8FD"/>
          </w:tcPr>
          <w:p>
            <w:r>
              <w:rPr>
                <w:sz w:val="18"/>
              </w:rPr>
              <w:t>Flask Blueprints : endpoints REST avec décorateurs JWT et rate limiting</w:t>
            </w:r>
          </w:p>
        </w:tc>
      </w:tr>
      <w:tr>
        <w:tc>
          <w:tcPr>
            <w:tcW w:type="dxa" w:w="4703"/>
            <w:shd w:val="clear" w:color="auto" w:fill="2E86C1"/>
          </w:tcPr>
          <w:p>
            <w:r>
              <w:rPr>
                <w:b/>
                <w:color w:val="FFFFFF"/>
                <w:sz w:val="18"/>
              </w:rPr>
              <w:t>Couche service</w:t>
            </w:r>
          </w:p>
        </w:tc>
        <w:tc>
          <w:tcPr>
            <w:tcW w:type="dxa" w:w="4703"/>
            <w:shd w:val="clear" w:color="auto" w:fill="F2F8FD"/>
          </w:tcPr>
          <w:p>
            <w:r>
              <w:rPr>
                <w:sz w:val="18"/>
              </w:rPr>
              <w:t>CampaignService (classe), fonctions email_service, fonctions tenant_service, AuditLogService</w:t>
            </w:r>
          </w:p>
        </w:tc>
      </w:tr>
      <w:tr>
        <w:tc>
          <w:tcPr>
            <w:tcW w:type="dxa" w:w="4703"/>
            <w:shd w:val="clear" w:color="auto" w:fill="3498DB"/>
          </w:tcPr>
          <w:p>
            <w:r>
              <w:rPr>
                <w:b/>
                <w:color w:val="FFFFFF"/>
                <w:sz w:val="18"/>
              </w:rPr>
              <w:t>Couche accès données</w:t>
            </w:r>
          </w:p>
        </w:tc>
        <w:tc>
          <w:tcPr>
            <w:tcW w:type="dxa" w:w="4703"/>
            <w:shd w:val="clear" w:color="auto" w:fill="F2F8FD"/>
          </w:tcPr>
          <w:p>
            <w:r>
              <w:rPr>
                <w:sz w:val="18"/>
              </w:rPr>
              <w:t>BaseRepository (SQLAlchemy ORM) → PostgreSQL 15 ; Redis 7 (rate limiting + révocation JWT)</w:t>
            </w:r>
          </w:p>
        </w:tc>
      </w:tr>
    </w:tbl>
    <w:p/>
    <w:p>
      <w:pPr>
        <w:spacing w:before="40" w:after="40"/>
      </w:pPr>
      <w:r>
        <w:rPr>
          <w:b w:val="0"/>
          <w:sz w:val="18"/>
        </w:rPr>
        <w:t>Voir docs/uml/architecture.png pour le diagramme complet.</w:t>
      </w:r>
    </w:p>
    <w:p>
      <w:pPr>
        <w:pStyle w:val="Heading1"/>
      </w:pPr>
      <w:r>
        <w:rPr>
          <w:color w:val="1A5E9D"/>
        </w:rPr>
        <w:t>10. Documents associés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Référence</w:t>
            </w:r>
          </w:p>
        </w:tc>
        <w:tc>
          <w:tcPr>
            <w:tcW w:type="dxa" w:w="4703"/>
            <w:shd w:val="clear" w:color="auto" w:fill="1A5E9D"/>
          </w:tcPr>
          <w:p>
            <w:r>
              <w:rPr>
                <w:b/>
                <w:color w:val="FFFFFF"/>
                <w:sz w:val="18"/>
              </w:rPr>
              <w:t>Document</w:t>
            </w:r>
          </w:p>
        </w:tc>
      </w:tr>
      <w:tr>
        <w:tc>
          <w:tcPr>
            <w:tcW w:type="dxa" w:w="4703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Annexe A</w:t>
            </w:r>
          </w:p>
        </w:tc>
        <w:tc>
          <w:tcPr>
            <w:tcW w:type="dxa" w:w="4703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Diagramme entité-relation : docs/uml/er-diagram.png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Annexe B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Diagramme d'architecture logicielle, docs/uml/architecture.png</w:t>
            </w:r>
          </w:p>
        </w:tc>
      </w:tr>
      <w:tr>
        <w:tc>
          <w:tcPr>
            <w:tcW w:type="dxa" w:w="4703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Annexe C</w:t>
            </w:r>
          </w:p>
        </w:tc>
        <w:tc>
          <w:tcPr>
            <w:tcW w:type="dxa" w:w="4703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Maquettes de l'interface (wireframes), docs/uml/wireframes/wf_00.png … wf_12.png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Annexe D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Dossier de projet RNCP, docs/Dossier_Projet_PhishNet_RNCP37873.docx</w:t>
            </w:r>
          </w:p>
        </w:tc>
      </w:tr>
      <w:tr>
        <w:tc>
          <w:tcPr>
            <w:tcW w:type="dxa" w:w="4703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Annexe E</w:t>
            </w:r>
          </w:p>
        </w:tc>
        <w:tc>
          <w:tcPr>
            <w:tcW w:type="dxa" w:w="4703"/>
            <w:shd w:val="clear" w:color="auto" w:fill="F2F8FD"/>
          </w:tcPr>
          <w:p>
            <w:pPr>
              <w:spacing w:before="40" w:after="40"/>
            </w:pPr>
            <w:r>
              <w:rPr>
                <w:sz w:val="18"/>
              </w:rPr>
              <w:t>Pipeline CI : .github/workflows/ci.yml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Annexe F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Pipeline CD : .github/workflows/cd.yml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