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40" w:after="240" w:line="240"/>
        <w:ind w:right="0" w:left="709" w:firstLine="0"/>
        <w:jc w:val="center"/>
        <w:rPr>
          <w:rFonts w:ascii="Garamond" w:hAnsi="Garamond" w:cs="Garamond" w:eastAsia="Garamond"/>
          <w:b/>
          <w:color w:val="C00000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b/>
          <w:color w:val="C00000"/>
          <w:spacing w:val="0"/>
          <w:position w:val="0"/>
          <w:sz w:val="24"/>
          <w:shd w:fill="auto" w:val="clear"/>
        </w:rPr>
        <w:t xml:space="preserve">CHARTE DU PROJET </w:t>
      </w:r>
    </w:p>
    <w:p>
      <w:pPr>
        <w:numPr>
          <w:ilvl w:val="0"/>
          <w:numId w:val="2"/>
        </w:numPr>
        <w:spacing w:before="240" w:after="120" w:line="240"/>
        <w:ind w:right="0" w:left="714" w:hanging="357"/>
        <w:jc w:val="both"/>
        <w:rPr>
          <w:rFonts w:ascii="Garamond" w:hAnsi="Garamond" w:cs="Garamond" w:eastAsia="Garamond"/>
          <w:b/>
          <w:color w:val="C00000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b/>
          <w:caps w:val="true"/>
          <w:color w:val="C00000"/>
          <w:spacing w:val="0"/>
          <w:position w:val="0"/>
          <w:sz w:val="22"/>
          <w:shd w:fill="auto" w:val="clear"/>
        </w:rPr>
        <w:t xml:space="preserve">Le pROJET :</w:t>
      </w:r>
    </w:p>
    <w:p>
      <w:pPr>
        <w:spacing w:before="240" w:after="120" w:line="240"/>
        <w:ind w:right="0" w:left="720" w:firstLine="0"/>
        <w:jc w:val="both"/>
        <w:rPr>
          <w:rFonts w:ascii="Garamond" w:hAnsi="Garamond" w:cs="Garamond" w:eastAsia="Garamond"/>
          <w:b/>
          <w:color w:val="auto"/>
          <w:spacing w:val="0"/>
          <w:position w:val="0"/>
          <w:sz w:val="4"/>
          <w:shd w:fill="auto" w:val="clear"/>
        </w:rPr>
      </w:pPr>
    </w:p>
    <w:tbl>
      <w:tblPr>
        <w:tblInd w:w="720" w:type="dxa"/>
      </w:tblPr>
      <w:tblGrid>
        <w:gridCol w:w="2961"/>
        <w:gridCol w:w="6941"/>
      </w:tblGrid>
      <w:tr>
        <w:trPr>
          <w:trHeight w:val="1" w:hRule="atLeast"/>
          <w:jc w:val="left"/>
        </w:trPr>
        <w:tc>
          <w:tcPr>
            <w:tcW w:w="2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aramond" w:hAnsi="Garamond" w:cs="Garamond" w:eastAsia="Garamond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Référence Projet</w:t>
            </w:r>
          </w:p>
        </w:tc>
        <w:tc>
          <w:tcPr>
            <w:tcW w:w="6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Clé en main</w:t>
            </w:r>
          </w:p>
        </w:tc>
      </w:tr>
      <w:tr>
        <w:trPr>
          <w:trHeight w:val="1" w:hRule="atLeast"/>
          <w:jc w:val="left"/>
        </w:trPr>
        <w:tc>
          <w:tcPr>
            <w:tcW w:w="2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aramond" w:hAnsi="Garamond" w:cs="Garamond" w:eastAsia="Garamond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Titre du projet</w:t>
            </w:r>
          </w:p>
        </w:tc>
        <w:tc>
          <w:tcPr>
            <w:tcW w:w="6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unité de réduction des émissions des gaz NO X</w:t>
            </w:r>
          </w:p>
        </w:tc>
      </w:tr>
      <w:tr>
        <w:trPr>
          <w:trHeight w:val="1" w:hRule="atLeast"/>
          <w:jc w:val="left"/>
        </w:trPr>
        <w:tc>
          <w:tcPr>
            <w:tcW w:w="2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aramond" w:hAnsi="Garamond" w:cs="Garamond" w:eastAsia="Garamond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Client (maître d’ouvrage)</w:t>
            </w:r>
          </w:p>
        </w:tc>
        <w:tc>
          <w:tcPr>
            <w:tcW w:w="6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groupe chimique tunisien</w:t>
            </w:r>
          </w:p>
        </w:tc>
      </w:tr>
      <w:tr>
        <w:trPr>
          <w:trHeight w:val="1" w:hRule="atLeast"/>
          <w:jc w:val="left"/>
        </w:trPr>
        <w:tc>
          <w:tcPr>
            <w:tcW w:w="2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aramond" w:hAnsi="Garamond" w:cs="Garamond" w:eastAsia="Garamond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 sommaire</w:t>
            </w:r>
          </w:p>
        </w:tc>
        <w:tc>
          <w:tcPr>
            <w:tcW w:w="6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Dans le cadre de son programme pour la protection de l’environnement, le Groupe Chimique Tunisien</w:t>
            </w:r>
          </w:p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"GCT" lance un projet de construction d’une nouvelle unité de réduction des émissions des gaz NO X (NO</w:t>
            </w:r>
          </w:p>
          <w:p>
            <w:pPr>
              <w:spacing w:before="12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et NO 2 ) rejetés par l’unité de production d’acide nitrique,</w:t>
            </w:r>
          </w:p>
        </w:tc>
      </w:tr>
      <w:tr>
        <w:trPr>
          <w:trHeight w:val="1" w:hRule="atLeast"/>
          <w:jc w:val="left"/>
        </w:trPr>
        <w:tc>
          <w:tcPr>
            <w:tcW w:w="2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aramond" w:hAnsi="Garamond" w:cs="Garamond" w:eastAsia="Garamond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Contenu du livrable</w:t>
            </w:r>
          </w:p>
        </w:tc>
        <w:tc>
          <w:tcPr>
            <w:tcW w:w="6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aramond" w:hAnsi="Garamond" w:cs="Garamond" w:eastAsia="Garamond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Site</w:t>
            </w:r>
          </w:p>
        </w:tc>
        <w:tc>
          <w:tcPr>
            <w:tcW w:w="6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gabes</w:t>
            </w:r>
          </w:p>
        </w:tc>
      </w:tr>
      <w:tr>
        <w:trPr>
          <w:trHeight w:val="1" w:hRule="atLeast"/>
          <w:jc w:val="left"/>
        </w:trPr>
        <w:tc>
          <w:tcPr>
            <w:tcW w:w="2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aramond" w:hAnsi="Garamond" w:cs="Garamond" w:eastAsia="Garamond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Entrepreneur</w:t>
            </w:r>
          </w:p>
        </w:tc>
        <w:tc>
          <w:tcPr>
            <w:tcW w:w="6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groupe chimique tunisien</w:t>
            </w:r>
          </w:p>
        </w:tc>
      </w:tr>
      <w:tr>
        <w:trPr>
          <w:trHeight w:val="1" w:hRule="atLeast"/>
          <w:jc w:val="left"/>
        </w:trPr>
        <w:tc>
          <w:tcPr>
            <w:tcW w:w="2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aramond" w:hAnsi="Garamond" w:cs="Garamond" w:eastAsia="Garamond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Financement</w:t>
            </w:r>
          </w:p>
        </w:tc>
        <w:tc>
          <w:tcPr>
            <w:tcW w:w="69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societe tunisienne des banques</w:t>
            </w:r>
          </w:p>
        </w:tc>
      </w:tr>
    </w:tbl>
    <w:p>
      <w:pPr>
        <w:numPr>
          <w:ilvl w:val="0"/>
          <w:numId w:val="23"/>
        </w:numPr>
        <w:spacing w:before="240" w:after="120" w:line="240"/>
        <w:ind w:right="0" w:left="714" w:hanging="357"/>
        <w:jc w:val="both"/>
        <w:rPr>
          <w:rFonts w:ascii="Garamond" w:hAnsi="Garamond" w:cs="Garamond" w:eastAsia="Garamond"/>
          <w:b/>
          <w:caps w:val="true"/>
          <w:color w:val="C00000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b/>
          <w:caps w:val="true"/>
          <w:color w:val="C00000"/>
          <w:spacing w:val="0"/>
          <w:position w:val="0"/>
          <w:sz w:val="22"/>
          <w:shd w:fill="auto" w:val="clear"/>
        </w:rPr>
        <w:t xml:space="preserve">Les Objectifs :</w:t>
      </w:r>
    </w:p>
    <w:p>
      <w:pPr>
        <w:spacing w:before="240" w:after="120" w:line="240"/>
        <w:ind w:right="0" w:left="720" w:firstLine="0"/>
        <w:jc w:val="both"/>
        <w:rPr>
          <w:rFonts w:ascii="Garamond" w:hAnsi="Garamond" w:cs="Garamond" w:eastAsia="Garamond"/>
          <w:b/>
          <w:caps w:val="true"/>
          <w:color w:val="auto"/>
          <w:spacing w:val="0"/>
          <w:position w:val="0"/>
          <w:sz w:val="8"/>
          <w:shd w:fill="auto" w:val="clear"/>
        </w:rPr>
      </w:pPr>
    </w:p>
    <w:tbl>
      <w:tblPr>
        <w:tblInd w:w="720" w:type="dxa"/>
      </w:tblPr>
      <w:tblGrid>
        <w:gridCol w:w="2649"/>
        <w:gridCol w:w="7479"/>
      </w:tblGrid>
      <w:tr>
        <w:trPr>
          <w:trHeight w:val="1" w:hRule="atLeast"/>
          <w:jc w:val="left"/>
        </w:trPr>
        <w:tc>
          <w:tcPr>
            <w:tcW w:w="26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aramond" w:hAnsi="Garamond" w:cs="Garamond" w:eastAsia="Garamond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Délai</w:t>
            </w:r>
          </w:p>
        </w:tc>
        <w:tc>
          <w:tcPr>
            <w:tcW w:w="74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420jours</w:t>
            </w:r>
          </w:p>
        </w:tc>
      </w:tr>
      <w:tr>
        <w:trPr>
          <w:trHeight w:val="1" w:hRule="atLeast"/>
          <w:jc w:val="left"/>
        </w:trPr>
        <w:tc>
          <w:tcPr>
            <w:tcW w:w="26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aramond" w:hAnsi="Garamond" w:cs="Garamond" w:eastAsia="Garamond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Coût</w:t>
            </w:r>
          </w:p>
        </w:tc>
        <w:tc>
          <w:tcPr>
            <w:tcW w:w="74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5400,000 TND</w:t>
            </w:r>
          </w:p>
        </w:tc>
      </w:tr>
      <w:tr>
        <w:trPr>
          <w:trHeight w:val="1" w:hRule="atLeast"/>
          <w:jc w:val="left"/>
        </w:trPr>
        <w:tc>
          <w:tcPr>
            <w:tcW w:w="26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aramond" w:hAnsi="Garamond" w:cs="Garamond" w:eastAsia="Garamond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Projet</w:t>
            </w:r>
          </w:p>
        </w:tc>
        <w:tc>
          <w:tcPr>
            <w:tcW w:w="74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réduction des émissions des gaz NO X (NO</w:t>
            </w:r>
          </w:p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et NO 2 ) rejetés par l’unité de production d’acide nitrique,</w:t>
            </w:r>
          </w:p>
        </w:tc>
      </w:tr>
      <w:tr>
        <w:trPr>
          <w:trHeight w:val="1" w:hRule="atLeast"/>
          <w:jc w:val="left"/>
        </w:trPr>
        <w:tc>
          <w:tcPr>
            <w:tcW w:w="26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aramond" w:hAnsi="Garamond" w:cs="Garamond" w:eastAsia="Garamond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Produit</w:t>
            </w:r>
          </w:p>
        </w:tc>
        <w:tc>
          <w:tcPr>
            <w:tcW w:w="74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une nouvelle unité de réduction d'émission fr gaz NO x</w:t>
            </w:r>
          </w:p>
        </w:tc>
      </w:tr>
    </w:tbl>
    <w:p>
      <w:pPr>
        <w:numPr>
          <w:ilvl w:val="0"/>
          <w:numId w:val="39"/>
        </w:numPr>
        <w:spacing w:before="240" w:after="120" w:line="240"/>
        <w:ind w:right="0" w:left="714" w:hanging="357"/>
        <w:jc w:val="both"/>
        <w:rPr>
          <w:rFonts w:ascii="Garamond" w:hAnsi="Garamond" w:cs="Garamond" w:eastAsia="Garamond"/>
          <w:b/>
          <w:caps w:val="true"/>
          <w:color w:val="C00000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b/>
          <w:caps w:val="true"/>
          <w:color w:val="C00000"/>
          <w:spacing w:val="0"/>
          <w:position w:val="0"/>
          <w:sz w:val="22"/>
          <w:shd w:fill="auto" w:val="clear"/>
        </w:rPr>
        <w:t xml:space="preserve">LE CHEF DU PROJET :</w:t>
      </w:r>
    </w:p>
    <w:tbl>
      <w:tblPr>
        <w:tblInd w:w="720" w:type="dxa"/>
      </w:tblPr>
      <w:tblGrid>
        <w:gridCol w:w="2649"/>
        <w:gridCol w:w="7479"/>
      </w:tblGrid>
      <w:tr>
        <w:trPr>
          <w:trHeight w:val="1" w:hRule="atLeast"/>
          <w:jc w:val="left"/>
        </w:trPr>
        <w:tc>
          <w:tcPr>
            <w:tcW w:w="26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aramond" w:hAnsi="Garamond" w:cs="Garamond" w:eastAsia="Garamond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Nom et prénom</w:t>
            </w:r>
          </w:p>
        </w:tc>
        <w:tc>
          <w:tcPr>
            <w:tcW w:w="74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5" w:hRule="auto"/>
          <w:jc w:val="left"/>
        </w:trPr>
        <w:tc>
          <w:tcPr>
            <w:tcW w:w="26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aramond" w:hAnsi="Garamond" w:cs="Garamond" w:eastAsia="Garamond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Niveau d’autorité</w:t>
            </w:r>
          </w:p>
        </w:tc>
        <w:tc>
          <w:tcPr>
            <w:tcW w:w="74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pouvoir décisionnel</w:t>
            </w:r>
          </w:p>
        </w:tc>
      </w:tr>
    </w:tbl>
    <w:p>
      <w:pPr>
        <w:numPr>
          <w:ilvl w:val="0"/>
          <w:numId w:val="46"/>
        </w:numPr>
        <w:spacing w:before="240" w:after="120" w:line="240"/>
        <w:ind w:right="0" w:left="714" w:hanging="357"/>
        <w:jc w:val="both"/>
        <w:rPr>
          <w:rFonts w:ascii="Garamond" w:hAnsi="Garamond" w:cs="Garamond" w:eastAsia="Garamond"/>
          <w:b/>
          <w:caps w:val="true"/>
          <w:color w:val="C00000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b/>
          <w:caps w:val="true"/>
          <w:color w:val="C00000"/>
          <w:spacing w:val="0"/>
          <w:position w:val="0"/>
          <w:sz w:val="22"/>
          <w:shd w:fill="auto" w:val="clear"/>
        </w:rPr>
        <w:t xml:space="preserve">Les jalons :</w:t>
      </w:r>
    </w:p>
    <w:tbl>
      <w:tblPr>
        <w:tblInd w:w="709" w:type="dxa"/>
      </w:tblPr>
      <w:tblGrid>
        <w:gridCol w:w="6090"/>
        <w:gridCol w:w="3823"/>
      </w:tblGrid>
      <w:tr>
        <w:trPr>
          <w:trHeight w:val="285" w:hRule="auto"/>
          <w:jc w:val="left"/>
        </w:trPr>
        <w:tc>
          <w:tcPr>
            <w:tcW w:w="60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Date début du projet</w:t>
            </w:r>
          </w:p>
        </w:tc>
        <w:tc>
          <w:tcPr>
            <w:tcW w:w="3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01/09/2023</w:t>
            </w:r>
          </w:p>
        </w:tc>
      </w:tr>
      <w:tr>
        <w:trPr>
          <w:trHeight w:val="1" w:hRule="atLeast"/>
          <w:jc w:val="left"/>
        </w:trPr>
        <w:tc>
          <w:tcPr>
            <w:tcW w:w="60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Etude</w:t>
            </w:r>
          </w:p>
        </w:tc>
        <w:tc>
          <w:tcPr>
            <w:tcW w:w="3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01/09/2023-- 30/11/2023</w:t>
            </w:r>
          </w:p>
        </w:tc>
      </w:tr>
      <w:tr>
        <w:trPr>
          <w:trHeight w:val="1" w:hRule="atLeast"/>
          <w:jc w:val="left"/>
        </w:trPr>
        <w:tc>
          <w:tcPr>
            <w:tcW w:w="60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Fournitures</w:t>
            </w:r>
          </w:p>
        </w:tc>
        <w:tc>
          <w:tcPr>
            <w:tcW w:w="3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30/11/2023-- 28/05/2024 </w:t>
            </w:r>
          </w:p>
        </w:tc>
      </w:tr>
      <w:tr>
        <w:trPr>
          <w:trHeight w:val="1" w:hRule="atLeast"/>
          <w:jc w:val="left"/>
        </w:trPr>
        <w:tc>
          <w:tcPr>
            <w:tcW w:w="60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Construction</w:t>
            </w:r>
          </w:p>
        </w:tc>
        <w:tc>
          <w:tcPr>
            <w:tcW w:w="3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28/05/2024--25/09/2024</w:t>
            </w:r>
          </w:p>
        </w:tc>
      </w:tr>
      <w:tr>
        <w:trPr>
          <w:trHeight w:val="225" w:hRule="auto"/>
          <w:jc w:val="left"/>
        </w:trPr>
        <w:tc>
          <w:tcPr>
            <w:tcW w:w="60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Raccordements et essais</w:t>
            </w:r>
          </w:p>
        </w:tc>
        <w:tc>
          <w:tcPr>
            <w:tcW w:w="3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25/09/2024--10/10/2024</w:t>
            </w:r>
          </w:p>
        </w:tc>
      </w:tr>
      <w:tr>
        <w:trPr>
          <w:trHeight w:val="1" w:hRule="atLeast"/>
          <w:jc w:val="left"/>
        </w:trPr>
        <w:tc>
          <w:tcPr>
            <w:tcW w:w="60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Raccordements et mis en servies</w:t>
            </w:r>
          </w:p>
        </w:tc>
        <w:tc>
          <w:tcPr>
            <w:tcW w:w="3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10/10/2024--24/11/2024</w:t>
            </w:r>
          </w:p>
        </w:tc>
      </w:tr>
    </w:tbl>
    <w:p>
      <w:pPr>
        <w:numPr>
          <w:ilvl w:val="0"/>
          <w:numId w:val="69"/>
        </w:numPr>
        <w:spacing w:before="240" w:after="120" w:line="240"/>
        <w:ind w:right="0" w:left="714" w:hanging="357"/>
        <w:jc w:val="both"/>
        <w:rPr>
          <w:rFonts w:ascii="Garamond" w:hAnsi="Garamond" w:cs="Garamond" w:eastAsia="Garamond"/>
          <w:b/>
          <w:caps w:val="true"/>
          <w:color w:val="C00000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b/>
          <w:caps w:val="true"/>
          <w:color w:val="C00000"/>
          <w:spacing w:val="0"/>
          <w:position w:val="0"/>
          <w:sz w:val="22"/>
          <w:shd w:fill="auto" w:val="clear"/>
        </w:rPr>
        <w:t xml:space="preserve">LES RISQUES :</w:t>
      </w:r>
    </w:p>
    <w:tbl>
      <w:tblPr>
        <w:tblInd w:w="709" w:type="dxa"/>
      </w:tblPr>
      <w:tblGrid>
        <w:gridCol w:w="4106"/>
        <w:gridCol w:w="5807"/>
      </w:tblGrid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environnement</w:t>
            </w:r>
          </w:p>
        </w:tc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 terrain de l’usine est pollué par les acides utilisés lors de l’exploitation de l’unité existante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sécurité</w:t>
            </w:r>
          </w:p>
        </w:tc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Lors des travaux il faut éviter les accidents sur les équipements de l’unité existante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santé</w:t>
            </w:r>
          </w:p>
        </w:tc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 présence de l’ammoniac à proximité est très dangereuse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resprise d'exploitation de l'unité existante</w:t>
            </w:r>
          </w:p>
        </w:tc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Les dépassements des délais des raccordements entrainent le retard sur la reprise de l’exploitation de l’unité existante</w:t>
            </w:r>
          </w:p>
        </w:tc>
      </w:tr>
    </w:tbl>
    <w:p>
      <w:pPr>
        <w:spacing w:before="24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074"/>
        <w:gridCol w:w="4277"/>
        <w:gridCol w:w="4271"/>
      </w:tblGrid>
      <w:tr>
        <w:trPr>
          <w:trHeight w:val="1" w:hRule="atLeast"/>
          <w:jc w:val="left"/>
        </w:trPr>
        <w:tc>
          <w:tcPr>
            <w:tcW w:w="20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1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Pour la Direction Générale</w:t>
            </w:r>
          </w:p>
        </w:tc>
        <w:tc>
          <w:tcPr>
            <w:tcW w:w="4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142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Le Chef Projet</w:t>
            </w:r>
          </w:p>
        </w:tc>
      </w:tr>
      <w:tr>
        <w:trPr>
          <w:trHeight w:val="1" w:hRule="atLeast"/>
          <w:jc w:val="left"/>
        </w:trPr>
        <w:tc>
          <w:tcPr>
            <w:tcW w:w="20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Nom &amp; Prénom</w:t>
            </w:r>
          </w:p>
        </w:tc>
        <w:tc>
          <w:tcPr>
            <w:tcW w:w="42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1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1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2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1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1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0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14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Signature</w:t>
            </w:r>
          </w:p>
        </w:tc>
        <w:tc>
          <w:tcPr>
            <w:tcW w:w="42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1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120" w:line="240"/>
              <w:ind w:right="0" w:left="1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24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12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120" w:line="240"/>
        <w:ind w:right="0" w:left="0" w:firstLine="708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2">
    <w:abstractNumId w:val="24"/>
  </w:num>
  <w:num w:numId="23">
    <w:abstractNumId w:val="18"/>
  </w:num>
  <w:num w:numId="39">
    <w:abstractNumId w:val="12"/>
  </w:num>
  <w:num w:numId="46">
    <w:abstractNumId w:val="6"/>
  </w:num>
  <w:num w:numId="6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