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6"/>
          <w:szCs w:val="36"/>
        </w:rPr>
        <w:t xml:space="preserve">WaveRead: Multimodal Decade and Emotion Prediction from Song Lyrics and Audio</w:t>
      </w:r>
    </w:p>
    <w:p>
      <w:pPr>
        <w:spacing w:after="60" w:before="0"/>
        <w:jc w:val="center"/>
      </w:pPr>
      <w:r>
        <w:rPr>
          <w:rFonts w:ascii="Times New Roman" w:cs="Times New Roman" w:eastAsia="Times New Roman" w:hAnsi="Times New Roman"/>
          <w:sz w:val="22"/>
          <w:szCs w:val="22"/>
        </w:rPr>
        <w:t xml:space="preserve">Natural Language Processing — Final Project Report (Spring 2026)</w:t>
      </w:r>
    </w:p>
    <w:p>
      <w:pPr>
        <w:spacing w:after="160" w:before="0"/>
        <w:jc w:val="center"/>
      </w:pPr>
      <w:r>
        <w:rPr>
          <w:rFonts w:ascii="Times New Roman" w:cs="Times New Roman" w:eastAsia="Times New Roman" w:hAnsi="Times New Roman"/>
          <w:i/>
          <w:iCs/>
          <w:sz w:val="22"/>
          <w:szCs w:val="22"/>
        </w:rPr>
        <w:t xml:space="preserve">Wonbin Kim</w:t>
      </w:r>
    </w:p>
    <w:p>
      <w:pPr>
        <w:pBdr>
          <w:bottom w:val="single" w:color="333333" w:sz="6" w:space="1"/>
        </w:pBdr>
        <w:spacing w:after="120" w:before="60"/>
      </w:pPr>
      <w:r>
        <w:rPr>
          <w:rFonts w:ascii="Times New Roman" w:cs="Times New Roman" w:eastAsia="Times New Roman" w:hAnsi="Times New Roman"/>
          <w:sz w:val="4"/>
          <w:szCs w:val="4"/>
        </w:rPr>
        <w:t xml:space="preserve"/>
      </w:r>
    </w:p>
    <w:p>
      <w:pPr>
        <w:pBdr>
          <w:bottom w:val="single" w:color="AAAAAA" w:sz="4" w:space="4"/>
        </w:pBdr>
        <w:spacing w:after="80" w:before="260" w:line="264"/>
      </w:pPr>
      <w:r>
        <w:rPr>
          <w:rFonts w:ascii="Times New Roman" w:cs="Times New Roman" w:eastAsia="Times New Roman" w:hAnsi="Times New Roman"/>
          <w:b/>
          <w:bCs/>
          <w:sz w:val="24"/>
          <w:szCs w:val="24"/>
        </w:rPr>
        <w:t xml:space="preserve">1  Project Overview</w:t>
      </w:r>
    </w:p>
    <w:p>
      <w:pPr>
        <w:spacing w:after="180" w:before="0" w:line="264"/>
        <w:jc w:val="both"/>
      </w:pPr>
      <w:r>
        <w:rPr>
          <w:rFonts w:ascii="Times New Roman" w:cs="Times New Roman" w:eastAsia="Times New Roman" w:hAnsi="Times New Roman"/>
          <w:sz w:val="22"/>
          <w:szCs w:val="22"/>
        </w:rPr>
        <w:t xml:space="preserve">Music encodes both temporal and emotional information in ways that are not fully understood. This project investigates whether a model can learn to identify when a song was made and how it feels emotionally, using only its lyrics and a short audio clip as input. The system — called waveRead — simultaneously predicts five properties: valence (emotional positivity, 0–1), energy (0–1), danceability (0–1), tempo (BPM), and decade of origin across seven classes (1960s–2020s).</w:t>
      </w:r>
    </w:p>
    <w:p>
      <w:pPr>
        <w:spacing w:after="180" w:before="0" w:line="264"/>
        <w:jc w:val="both"/>
      </w:pPr>
      <w:r>
        <w:rPr>
          <w:rFonts w:ascii="Times New Roman" w:cs="Times New Roman" w:eastAsia="Times New Roman" w:hAnsi="Times New Roman"/>
          <w:sz w:val="22"/>
          <w:szCs w:val="22"/>
        </w:rPr>
        <w:t xml:space="preserve">The motivation is twofold. First, musical style and vocabulary change systematically across decades, and it is not obvious how much of this signal is lexical versus acoustic. Second, multi-task learning across these five targets is non-trivial: they have different scales, loss types (regression vs. classification), and difficulty levels, making automatic loss balancing a core design challenge.</w:t>
      </w:r>
    </w:p>
    <w:p>
      <w:pPr>
        <w:spacing w:after="180" w:before="0" w:line="264"/>
        <w:jc w:val="both"/>
      </w:pPr>
      <w:r>
        <w:rPr>
          <w:rFonts w:ascii="Times New Roman" w:cs="Times New Roman" w:eastAsia="Times New Roman" w:hAnsi="Times New Roman"/>
          <w:sz w:val="22"/>
          <w:szCs w:val="22"/>
        </w:rPr>
        <w:t xml:space="preserve">Success was defined operationally at the outset: decade classification accuracy significantly above the 14.3% random baseline (target: 35%+), and Pearson r &gt; 0.5 for the continuous regression tasks. The final model achieves 45.3% decade accuracy (3.2× random) and r = 0.963 for tempo, satisfying both criteria.</w:t>
      </w:r>
    </w:p>
    <w:p>
      <w:pPr>
        <w:pBdr>
          <w:bottom w:val="single" w:color="AAAAAA" w:sz="4" w:space="4"/>
        </w:pBdr>
        <w:spacing w:after="80" w:before="260" w:line="264"/>
      </w:pPr>
      <w:r>
        <w:rPr>
          <w:rFonts w:ascii="Times New Roman" w:cs="Times New Roman" w:eastAsia="Times New Roman" w:hAnsi="Times New Roman"/>
          <w:b/>
          <w:bCs/>
          <w:sz w:val="24"/>
          <w:szCs w:val="24"/>
        </w:rPr>
        <w:t xml:space="preserve">2  Updates After the Presentation</w:t>
      </w:r>
    </w:p>
    <w:p>
      <w:pPr>
        <w:spacing w:after="180" w:before="0" w:line="264"/>
        <w:jc w:val="both"/>
      </w:pPr>
      <w:r>
        <w:rPr>
          <w:rFonts w:ascii="Times New Roman" w:cs="Times New Roman" w:eastAsia="Times New Roman" w:hAnsi="Times New Roman"/>
          <w:sz w:val="22"/>
          <w:szCs w:val="22"/>
        </w:rPr>
        <w:t xml:space="preserve">Two additions were made to the web application following the final presentation.</w:t>
      </w:r>
    </w:p>
    <w:p>
      <w:pPr>
        <w:spacing w:after="180" w:before="0" w:line="264"/>
        <w:jc w:val="both"/>
      </w:pPr>
      <w:r>
        <w:rPr>
          <w:rFonts w:ascii="Times New Roman" w:cs="Times New Roman" w:eastAsia="Times New Roman" w:hAnsi="Times New Roman"/>
          <w:b/>
          <w:bCs/>
          <w:sz w:val="22"/>
          <w:szCs w:val="22"/>
        </w:rPr>
        <w:t xml:space="preserve">Mood Quadrant Visualization. </w:t>
      </w:r>
      <w:r>
        <w:rPr>
          <w:rFonts w:ascii="Times New Roman" w:cs="Times New Roman" w:eastAsia="Times New Roman" w:hAnsi="Times New Roman"/>
          <w:sz w:val="22"/>
          <w:szCs w:val="22"/>
        </w:rPr>
        <w:t xml:space="preserve">The results panel now includes a Russell circumplex model plot that renders the model’s valence and energy predictions as a dot on a two-dimensional affective plane. The plane is divided into four quadrants: Excited (high energy, high valence), Happy (low energy, high valence), Tense (high energy, low valence), and Sad (low energy, low valence). This visualization makes the model’s emotional output immediately interpretable without requiring users to parse abstract numeric scores.</w:t>
      </w:r>
    </w:p>
    <w:p>
      <w:pPr>
        <w:spacing w:after="180" w:before="0" w:line="264"/>
        <w:jc w:val="both"/>
      </w:pPr>
      <w:r>
        <w:rPr>
          <w:rFonts w:ascii="Times New Roman" w:cs="Times New Roman" w:eastAsia="Times New Roman" w:hAnsi="Times New Roman"/>
          <w:b/>
          <w:bCs/>
          <w:sz w:val="22"/>
          <w:szCs w:val="22"/>
        </w:rPr>
        <w:t xml:space="preserve">Hero Statistics Strip. </w:t>
      </w:r>
      <w:r>
        <w:rPr>
          <w:rFonts w:ascii="Times New Roman" w:cs="Times New Roman" w:eastAsia="Times New Roman" w:hAnsi="Times New Roman"/>
          <w:sz w:val="22"/>
          <w:szCs w:val="22"/>
        </w:rPr>
        <w:t xml:space="preserve">A horizontal strip of four key metrics was added to the top of the website: 45.3% decade accuracy, Pearson r = 0.963 for tempo, 3× above random baseline, and 6,000+ training songs. First-time visitors now receive a quantitative overview of model performance before interacting with the demo.</w:t>
      </w:r>
    </w:p>
    <w:p>
      <w:pPr>
        <w:spacing w:after="180" w:before="0" w:line="264"/>
        <w:jc w:val="both"/>
      </w:pPr>
      <w:r>
        <w:rPr>
          <w:rFonts w:ascii="Times New Roman" w:cs="Times New Roman" w:eastAsia="Times New Roman" w:hAnsi="Times New Roman"/>
          <w:sz w:val="22"/>
          <w:szCs w:val="22"/>
        </w:rPr>
        <w:t xml:space="preserve">Both additions were motivated by feedback that the demo results, while numerically precise, lacked immediate interpretive scaffolding for non-technical audiences.</w:t>
      </w:r>
    </w:p>
    <w:p>
      <w:pPr>
        <w:pBdr>
          <w:bottom w:val="single" w:color="AAAAAA" w:sz="4" w:space="4"/>
        </w:pBdr>
        <w:spacing w:after="80" w:before="260" w:line="264"/>
      </w:pPr>
      <w:r>
        <w:rPr>
          <w:rFonts w:ascii="Times New Roman" w:cs="Times New Roman" w:eastAsia="Times New Roman" w:hAnsi="Times New Roman"/>
          <w:b/>
          <w:bCs/>
          <w:sz w:val="24"/>
          <w:szCs w:val="24"/>
        </w:rPr>
        <w:t xml:space="preserve">3  Record of Attempts</w:t>
      </w:r>
    </w:p>
    <w:p>
      <w:pPr>
        <w:spacing w:after="60" w:before="160" w:line="264"/>
      </w:pPr>
      <w:r>
        <w:rPr>
          <w:rFonts w:ascii="Times New Roman" w:cs="Times New Roman" w:eastAsia="Times New Roman" w:hAnsi="Times New Roman"/>
          <w:b/>
          <w:bCs/>
          <w:i/>
          <w:iCs/>
          <w:sz w:val="22"/>
          <w:szCs w:val="22"/>
        </w:rPr>
        <w:t xml:space="preserve">3.1  Spotify API Deprecation and the Essentia Pivot</w:t>
      </w:r>
    </w:p>
    <w:p>
      <w:pPr>
        <w:spacing w:after="180" w:before="0" w:line="264"/>
        <w:jc w:val="both"/>
      </w:pPr>
      <w:r>
        <w:rPr>
          <w:rFonts w:ascii="Times New Roman" w:cs="Times New Roman" w:eastAsia="Times New Roman" w:hAnsi="Times New Roman"/>
          <w:sz w:val="22"/>
          <w:szCs w:val="22"/>
        </w:rPr>
        <w:t xml:space="preserve">The original project plan used Spotify’s audio-features endpoint to supply valence, energy, danceability, and tempo labels for all training songs. Spotify deprecated this endpoint for new developer applications in November 2024, mid-project. Rebuilding the label pipeline required identifying a replacement, selecting Essentia (MTG Barcelona), downloading five pre-trained TensorFlow .pb model files (mood_happy, mood_sad, mood_aggressive, danceability, TempoCNN), and writing a checkpointed batch inference pipeline to process 6,000 songs in groups of 500 while surviving Colab session timeouts. This consumed approximately two weeks of unplanned effort. In retrospect, self-computed Essentia labels are methodologically superior: they are ground-truth acoustic measurements derived directly from the raw audio signal using published models, with no opaque third-party dependency.</w:t>
      </w:r>
    </w:p>
    <w:p>
      <w:pPr>
        <w:spacing w:after="60" w:before="160" w:line="264"/>
      </w:pPr>
      <w:r>
        <w:rPr>
          <w:rFonts w:ascii="Times New Roman" w:cs="Times New Roman" w:eastAsia="Times New Roman" w:hAnsi="Times New Roman"/>
          <w:b/>
          <w:bCs/>
          <w:i/>
          <w:iCs/>
          <w:sz w:val="22"/>
          <w:szCs w:val="22"/>
        </w:rPr>
        <w:t xml:space="preserve">3.2  Lyrics Scraper Iterations (v1–v7)</w:t>
      </w:r>
    </w:p>
    <w:p>
      <w:pPr>
        <w:spacing w:after="180" w:before="0" w:line="264"/>
        <w:jc w:val="both"/>
      </w:pPr>
      <w:r>
        <w:rPr>
          <w:rFonts w:ascii="Times New Roman" w:cs="Times New Roman" w:eastAsia="Times New Roman" w:hAnsi="Times New Roman"/>
          <w:sz w:val="22"/>
          <w:szCs w:val="22"/>
        </w:rPr>
        <w:t xml:space="preserve">Seven successive scraper versions were required before the lyrics collection pipeline was stable. Key failures were:</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Thread safety (v2–v3): lyricsgenius corrupts shared session state across threads, causing crashes and missing lyrics. Fixed with threading.local() and a per-thread client factory function.</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Over-collection (v4–v5): without a guard, the scraper exceeded the target count per decade bucket. Fixed with a candidate_counts dict checked before each row append.</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Date parsing (v6): Genius returns inconsistent release date formats (‘January 1, 1985’, ‘1985’, ‘circa 1985’). Integer cast silently failed on string variants. Fixed with regex extraction of the four-digit year before casting.</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Rate limiting and robustness (v7): structured logging, always-on sleep timers regardless of success or failure, and improved error recovery.</w:t>
      </w:r>
    </w:p>
    <w:p>
      <w:pPr>
        <w:spacing w:after="60" w:before="160" w:line="264"/>
      </w:pPr>
      <w:r>
        <w:rPr>
          <w:rFonts w:ascii="Times New Roman" w:cs="Times New Roman" w:eastAsia="Times New Roman" w:hAnsi="Times New Roman"/>
          <w:b/>
          <w:bCs/>
          <w:i/>
          <w:iCs/>
          <w:sz w:val="22"/>
          <w:szCs w:val="22"/>
        </w:rPr>
        <w:t xml:space="preserve">3.3  Audio Collection: Rate Limiting and Resumability</w:t>
      </w:r>
    </w:p>
    <w:p>
      <w:pPr>
        <w:spacing w:after="180" w:before="0" w:line="264"/>
        <w:jc w:val="both"/>
      </w:pPr>
      <w:r>
        <w:rPr>
          <w:rFonts w:ascii="Times New Roman" w:cs="Times New Roman" w:eastAsia="Times New Roman" w:hAnsi="Times New Roman"/>
          <w:sz w:val="22"/>
          <w:szCs w:val="22"/>
        </w:rPr>
        <w:t xml:space="preserve">Bulk-downloading 6,000 thirty-second YouTube clips triggered anti-bot detection repeatedly. Fixed-interval sleep patterns are detectable, so they were replaced with randomized 8–20 second per-song delays, 120–300 second cooldowns every 100 songs, and exponential backoff (up to 600s) on HTTP 429 errors. The critical design decision was an audio_progress.csv checkpoint file tracking per-song status, which made multi-hour scrapes fully resumable after Colab session timeouts or IP bans without repeating any completed work.</w:t>
      </w:r>
    </w:p>
    <w:p>
      <w:pPr>
        <w:spacing w:after="60" w:before="160" w:line="264"/>
      </w:pPr>
      <w:r>
        <w:rPr>
          <w:rFonts w:ascii="Times New Roman" w:cs="Times New Roman" w:eastAsia="Times New Roman" w:hAnsi="Times New Roman"/>
          <w:b/>
          <w:bCs/>
          <w:i/>
          <w:iCs/>
          <w:sz w:val="22"/>
          <w:szCs w:val="22"/>
        </w:rPr>
        <w:t xml:space="preserve">3.4  Overfitting: From 90% Train Accuracy to 45% Test Accuracy</w:t>
      </w:r>
    </w:p>
    <w:p>
      <w:pPr>
        <w:spacing w:after="180" w:before="0" w:line="264"/>
        <w:jc w:val="both"/>
      </w:pPr>
      <w:r>
        <w:rPr>
          <w:rFonts w:ascii="Times New Roman" w:cs="Times New Roman" w:eastAsia="Times New Roman" w:hAnsi="Times New Roman"/>
          <w:sz w:val="22"/>
          <w:szCs w:val="22"/>
        </w:rPr>
        <w:t xml:space="preserve">The first full training run with all 12 RoBERTa encoder layers unfrozen produced severe overfitting: training decade accuracy exceeded 90% while validation accuracy stagnated at 30–35%. The model was memorizing training songs rather than learning generalizable temporal features. Six successive mitigations were applied:</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Freeze the bottom 6 RoBERTa layers: reduces trainable parameters from 125M to 42M, preserving general linguistic representations while adapting only the upper semantic layers.</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Modality dropout (p = 0.20): randomly zeroing the entire audio branch during training forces the text branch to generalize independently of audio, mirroring text-only inference.</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Audio branch dropout (p = 0.30): applied within the audio MLP after the first linear layer.</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Weight decay (AdamW, λ = 0.01): applied to weight matrices only, deliberately excluded from biases, LayerNorm parameters, the null audio embedding, and the homoscedastic log_sigma parameters.</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Lyric span sampling: a random contiguous 64–256 token window is sampled per training step, so every song appears differently each epoch, preventing position-based memorization.</w:t>
      </w:r>
    </w:p>
    <w:p>
      <w:pPr>
        <w:pStyle w:val="ListParagraph"/>
        <w:numPr>
          <w:ilvl w:val="0"/>
          <w:numId w:val="2"/>
        </w:numPr>
        <w:spacing w:after="60" w:before="0" w:line="264"/>
        <w:jc w:val="both"/>
      </w:pPr>
      <w:r>
        <w:rPr>
          <w:rFonts w:ascii="Times New Roman" w:cs="Times New Roman" w:eastAsia="Times New Roman" w:hAnsi="Times New Roman"/>
          <w:sz w:val="22"/>
          <w:szCs w:val="22"/>
        </w:rPr>
        <w:t xml:space="preserve">Early stopping (patience = 7): training halts if validation loss does not improve for 7 consecutive epochs; the best checkpoint is saved separately.</w:t>
      </w:r>
    </w:p>
    <w:p>
      <w:pPr>
        <w:spacing w:after="60" w:before="160" w:line="264"/>
      </w:pPr>
      <w:r>
        <w:rPr>
          <w:rFonts w:ascii="Times New Roman" w:cs="Times New Roman" w:eastAsia="Times New Roman" w:hAnsi="Times New Roman"/>
          <w:b/>
          <w:bCs/>
          <w:i/>
          <w:iCs/>
          <w:sz w:val="22"/>
          <w:szCs w:val="22"/>
        </w:rPr>
        <w:t xml:space="preserve">3.5  Negative Loss and Sigma Collapse</w:t>
      </w:r>
    </w:p>
    <w:p>
      <w:pPr>
        <w:spacing w:after="180" w:before="0" w:line="264"/>
        <w:jc w:val="both"/>
      </w:pPr>
      <w:r>
        <w:rPr>
          <w:rFonts w:ascii="Times New Roman" w:cs="Times New Roman" w:eastAsia="Times New Roman" w:hAnsi="Times New Roman"/>
          <w:sz w:val="22"/>
          <w:szCs w:val="22"/>
        </w:rPr>
        <w:t xml:space="preserve">Around epoch 3, training loss dropped below zero and continued decreasing. This is mathematically correct under homoscedastic uncertainty weighting: as sigma shrinks below 1.0, the log(σ) penalty goes negative and dominates the total. Without a floor, sigma for the easy regression tasks would collapse toward zero, making precision terms (1/2σ²) explode and starving the decade classification head of gradient. The fix was a MIN_SIGMA clamp (0.30), which stabilized sigma for valence, energy, and danceability at their floor by epoch 6 while allowing tempo and decade sigmas to continue learning.</w:t>
      </w:r>
    </w:p>
    <w:p>
      <w:pPr>
        <w:pBdr>
          <w:bottom w:val="single" w:color="AAAAAA" w:sz="4" w:space="4"/>
        </w:pBdr>
        <w:spacing w:after="80" w:before="260" w:line="264"/>
      </w:pPr>
      <w:r>
        <w:rPr>
          <w:rFonts w:ascii="Times New Roman" w:cs="Times New Roman" w:eastAsia="Times New Roman" w:hAnsi="Times New Roman"/>
          <w:b/>
          <w:bCs/>
          <w:sz w:val="24"/>
          <w:szCs w:val="24"/>
        </w:rPr>
        <w:t xml:space="preserve">4  Final Approach and Results</w:t>
      </w:r>
    </w:p>
    <w:p>
      <w:pPr>
        <w:spacing w:after="60" w:before="160" w:line="264"/>
      </w:pPr>
      <w:r>
        <w:rPr>
          <w:rFonts w:ascii="Times New Roman" w:cs="Times New Roman" w:eastAsia="Times New Roman" w:hAnsi="Times New Roman"/>
          <w:b/>
          <w:bCs/>
          <w:i/>
          <w:iCs/>
          <w:sz w:val="22"/>
          <w:szCs w:val="22"/>
        </w:rPr>
        <w:t xml:space="preserve">4.1  Architecture</w:t>
      </w:r>
    </w:p>
    <w:p>
      <w:pPr>
        <w:spacing w:after="180" w:before="0" w:line="264"/>
        <w:jc w:val="both"/>
      </w:pPr>
      <w:r>
        <w:rPr>
          <w:rFonts w:ascii="Times New Roman" w:cs="Times New Roman" w:eastAsia="Times New Roman" w:hAnsi="Times New Roman"/>
          <w:sz w:val="22"/>
          <w:szCs w:val="22"/>
        </w:rPr>
        <w:t xml:space="preserve">The model has two parallel branches that project to equal 256-dim embeddings, preventing dimensional bias at the fusion layer.</w:t>
      </w:r>
    </w:p>
    <w:p>
      <w:pPr>
        <w:spacing w:after="180" w:before="0" w:line="264"/>
        <w:jc w:val="both"/>
      </w:pPr>
      <w:r>
        <w:rPr>
          <w:rFonts w:ascii="Times New Roman" w:cs="Times New Roman" w:eastAsia="Times New Roman" w:hAnsi="Times New Roman"/>
          <w:b/>
          <w:bCs/>
          <w:sz w:val="22"/>
          <w:szCs w:val="22"/>
        </w:rPr>
        <w:t xml:space="preserve">Text branch: </w:t>
      </w:r>
      <w:r>
        <w:rPr>
          <w:rFonts w:ascii="Times New Roman" w:cs="Times New Roman" w:eastAsia="Times New Roman" w:hAnsi="Times New Roman"/>
          <w:sz w:val="22"/>
          <w:szCs w:val="22"/>
        </w:rPr>
        <w:t xml:space="preserve">RoBERTa-base with layers 0–5 frozen and layers 6–11 fine-tuned. The 768-dim [CLS] token embedding is projected to 256 dims via Linear(768, 256) → ReLU.</w:t>
      </w:r>
    </w:p>
    <w:p>
      <w:pPr>
        <w:spacing w:after="180" w:before="0" w:line="264"/>
        <w:jc w:val="both"/>
      </w:pPr>
      <w:r>
        <w:rPr>
          <w:rFonts w:ascii="Times New Roman" w:cs="Times New Roman" w:eastAsia="Times New Roman" w:hAnsi="Times New Roman"/>
          <w:b/>
          <w:bCs/>
          <w:sz w:val="22"/>
          <w:szCs w:val="22"/>
        </w:rPr>
        <w:t xml:space="preserve">Audio branch: </w:t>
      </w:r>
      <w:r>
        <w:rPr>
          <w:rFonts w:ascii="Times New Roman" w:cs="Times New Roman" w:eastAsia="Times New Roman" w:hAnsi="Times New Roman"/>
          <w:sz w:val="22"/>
          <w:szCs w:val="22"/>
        </w:rPr>
        <w:t xml:space="preserve">A lightweight MLP encoding 20 Librosa features (13 MFCCs, chroma, spectral centroid, spectral bandwidth, spectral rolloff, ZCR, RMS, tempo). Architecture: Linear(20, 128) → LayerNorm → ReLU → Dropout(0.30) → Linear(128, 256) → ReLU. When audio is unavailable, the embedding is replaced by a learned null embedding (nn.Parameter(256)) trained via backpropagation to represent a stable “no audio available” representation.</w:t>
      </w:r>
    </w:p>
    <w:p>
      <w:pPr>
        <w:spacing w:after="180" w:before="0" w:line="264"/>
        <w:jc w:val="both"/>
      </w:pPr>
      <w:r>
        <w:rPr>
          <w:rFonts w:ascii="Times New Roman" w:cs="Times New Roman" w:eastAsia="Times New Roman" w:hAnsi="Times New Roman"/>
          <w:b/>
          <w:bCs/>
          <w:sz w:val="22"/>
          <w:szCs w:val="22"/>
        </w:rPr>
        <w:t xml:space="preserve">Fusion: </w:t>
      </w:r>
      <w:r>
        <w:rPr>
          <w:rFonts w:ascii="Times New Roman" w:cs="Times New Roman" w:eastAsia="Times New Roman" w:hAnsi="Times New Roman"/>
          <w:sz w:val="22"/>
          <w:szCs w:val="22"/>
        </w:rPr>
        <w:t xml:space="preserve">The 256-dim outputs are concatenated to 512 dims, passed through Linear(512, 512) → GELU → Dropout(0.1), and fed into five output heads: valence, energy, and danceability (Linear → Sigmoid), tempo (Linear, z-scored), and decade (Linear → 7-class logits).</w:t>
      </w:r>
    </w:p>
    <w:p>
      <w:pPr>
        <w:spacing w:after="180" w:before="0" w:line="264"/>
        <w:jc w:val="both"/>
      </w:pPr>
      <w:r>
        <w:rPr>
          <w:rFonts w:ascii="Times New Roman" w:cs="Times New Roman" w:eastAsia="Times New Roman" w:hAnsi="Times New Roman"/>
          <w:b/>
          <w:bCs/>
          <w:sz w:val="22"/>
          <w:szCs w:val="22"/>
        </w:rPr>
        <w:t xml:space="preserve">Loss: </w:t>
      </w:r>
      <w:r>
        <w:rPr>
          <w:rFonts w:ascii="Times New Roman" w:cs="Times New Roman" w:eastAsia="Times New Roman" w:hAnsi="Times New Roman"/>
          <w:sz w:val="22"/>
          <w:szCs w:val="22"/>
        </w:rPr>
        <w:t xml:space="preserve">Homoscedastic uncertainty weighting [1]. Each task has a learnable log_σ parameter. Total loss = Σᵢ [(1/2σᵢ²) Lᵢ + log(σᵢ)], automatically down-weighting high-uncertainty tasks.</w:t>
      </w:r>
    </w:p>
    <w:p>
      <w:pPr>
        <w:spacing w:after="60" w:before="160" w:line="264"/>
      </w:pPr>
      <w:r>
        <w:rPr>
          <w:rFonts w:ascii="Times New Roman" w:cs="Times New Roman" w:eastAsia="Times New Roman" w:hAnsi="Times New Roman"/>
          <w:b/>
          <w:bCs/>
          <w:i/>
          <w:iCs/>
          <w:sz w:val="22"/>
          <w:szCs w:val="22"/>
        </w:rPr>
        <w:t xml:space="preserve">4.2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1530"/>
        <w:gridCol w:w="1530"/>
      </w:tblGrid>
      <w:tr>
        <w:trPr>
          <w:tblHeader/>
        </w:trPr>
        <w:tc>
          <w:tcPr>
            <w:tcW w:type="dxa" w:w="21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before="0"/>
            </w:pPr>
            <w:r>
              <w:rPr>
                <w:rFonts w:ascii="Times New Roman" w:cs="Times New Roman" w:eastAsia="Times New Roman" w:hAnsi="Times New Roman"/>
                <w:b/>
                <w:bCs/>
                <w:sz w:val="20"/>
                <w:szCs w:val="20"/>
              </w:rPr>
              <w:t xml:space="preserve">Task</w:t>
            </w:r>
          </w:p>
        </w:tc>
        <w:tc>
          <w:tcPr>
            <w:tcW w:type="dxa" w:w="21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before="0"/>
            </w:pPr>
            <w:r>
              <w:rPr>
                <w:rFonts w:ascii="Times New Roman" w:cs="Times New Roman" w:eastAsia="Times New Roman" w:hAnsi="Times New Roman"/>
                <w:b/>
                <w:bCs/>
                <w:sz w:val="20"/>
                <w:szCs w:val="20"/>
              </w:rPr>
              <w:t xml:space="preserve">Text-only r</w:t>
            </w:r>
          </w:p>
        </w:tc>
        <w:tc>
          <w:tcPr>
            <w:tcW w:type="dxa" w:w="21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before="0"/>
            </w:pPr>
            <w:r>
              <w:rPr>
                <w:rFonts w:ascii="Times New Roman" w:cs="Times New Roman" w:eastAsia="Times New Roman" w:hAnsi="Times New Roman"/>
                <w:b/>
                <w:bCs/>
                <w:sz w:val="20"/>
                <w:szCs w:val="20"/>
              </w:rPr>
              <w:t xml:space="preserve">Multimodal r</w:t>
            </w:r>
          </w:p>
        </w:tc>
        <w:tc>
          <w:tcPr>
            <w:tcW w:type="dxa" w:w="153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before="0"/>
            </w:pPr>
            <w:r>
              <w:rPr>
                <w:rFonts w:ascii="Times New Roman" w:cs="Times New Roman" w:eastAsia="Times New Roman" w:hAnsi="Times New Roman"/>
                <w:b/>
                <w:bCs/>
                <w:sz w:val="20"/>
                <w:szCs w:val="20"/>
              </w:rPr>
              <w:t xml:space="preserve">Text-only MAE</w:t>
            </w:r>
          </w:p>
        </w:tc>
        <w:tc>
          <w:tcPr>
            <w:tcW w:type="dxa" w:w="153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before="0"/>
            </w:pPr>
            <w:r>
              <w:rPr>
                <w:rFonts w:ascii="Times New Roman" w:cs="Times New Roman" w:eastAsia="Times New Roman" w:hAnsi="Times New Roman"/>
                <w:b/>
                <w:bCs/>
                <w:sz w:val="20"/>
                <w:szCs w:val="20"/>
              </w:rPr>
              <w:t xml:space="preserve">MM MAE</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Valence</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0.032</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0.329</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0.111</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0.106</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Energy</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0.567</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0.895</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0.248</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0.121</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Danceability</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0.321</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0.245</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0.080</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0.067</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Tempo</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0.162</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0.963</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0.852</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0.236</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Decade (acc)</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36.7% (3-cls)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45.3% (7-cls)</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w:t>
            </w:r>
          </w:p>
        </w:tc>
        <w:tc>
          <w:tcPr>
            <w:tcW w:type="dxa" w:w="15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Times New Roman" w:cs="Times New Roman" w:eastAsia="Times New Roman" w:hAnsi="Times New Roman"/>
                <w:b w:val="false"/>
                <w:bCs w:val="false"/>
                <w:sz w:val="20"/>
                <w:szCs w:val="20"/>
              </w:rPr>
              <w:t xml:space="preserve">—</w:t>
            </w:r>
          </w:p>
        </w:tc>
      </w:tr>
    </w:tbl>
    <w:p>
      <w:pPr>
        <w:spacing w:after="60" w:before="0"/>
      </w:pPr>
      <w:r>
        <w:rPr>
          <w:sz w:val="10"/>
          <w:szCs w:val="10"/>
        </w:rPr>
        <w:t xml:space="preserve"/>
      </w:r>
    </w:p>
    <w:p>
      <w:pPr>
        <w:spacing w:after="180" w:before="0" w:line="264"/>
        <w:jc w:val="both"/>
      </w:pPr>
      <w:r>
        <w:rPr>
          <w:rFonts w:ascii="Times New Roman" w:cs="Times New Roman" w:eastAsia="Times New Roman" w:hAnsi="Times New Roman"/>
          <w:sz w:val="22"/>
          <w:szCs w:val="22"/>
        </w:rPr>
        <w:t xml:space="preserve">The 1960s achieved the highest per-decade recall (66%), consistent with their distinct lyrical and acoustic signature evident in the t-SNE embedding projections. The 1980s (36%) and 1990s (28%) were the most confused pair, reflecting the lyrical and sonic overlap between New Wave/Synth-pop and Alternative/Grunge movements. Critically, all misclassification errors were predominantly adjacent-decade, confirming the model has learned a coherent temporal ordering rather than predicting arbitrarily.</w:t>
      </w:r>
    </w:p>
    <w:p>
      <w:pPr>
        <w:spacing w:after="60" w:before="160" w:line="264"/>
      </w:pPr>
      <w:r>
        <w:rPr>
          <w:rFonts w:ascii="Times New Roman" w:cs="Times New Roman" w:eastAsia="Times New Roman" w:hAnsi="Times New Roman"/>
          <w:b/>
          <w:bCs/>
          <w:i/>
          <w:iCs/>
          <w:sz w:val="22"/>
          <w:szCs w:val="22"/>
        </w:rPr>
        <w:t xml:space="preserve">4.3  Limitations</w:t>
      </w:r>
    </w:p>
    <w:p>
      <w:pPr>
        <w:spacing w:after="180" w:before="0" w:line="264"/>
        <w:jc w:val="both"/>
      </w:pPr>
      <w:r>
        <w:rPr>
          <w:rFonts w:ascii="Times New Roman" w:cs="Times New Roman" w:eastAsia="Times New Roman" w:hAnsi="Times New Roman"/>
          <w:sz w:val="22"/>
          <w:szCs w:val="22"/>
        </w:rPr>
        <w:t xml:space="preserve">Decade accuracy of 45.3% means the model misclassifies the majority of songs. Valence prediction is weak (r = 0.329 on held-out test) because Essentia acoustic valence and RoBERTa lexical sentiment are partially decoupled constructs: a song can have optimistic lyrics set to a slow, minor-key arrangement, or vice versa. Danceability shows a slight negative audio gain (−0.075), suggesting Librosa features do not capture groove or rhythmic regularity well and introduce noise rather than signal for this task.</w:t>
      </w:r>
    </w:p>
    <w:p>
      <w:pPr>
        <w:spacing w:after="180" w:before="0" w:line="264"/>
        <w:jc w:val="both"/>
      </w:pPr>
      <w:r>
        <w:rPr>
          <w:rFonts w:ascii="Times New Roman" w:cs="Times New Roman" w:eastAsia="Times New Roman" w:hAnsi="Times New Roman"/>
          <w:sz w:val="22"/>
          <w:szCs w:val="22"/>
        </w:rPr>
        <w:t xml:space="preserve">A practical limitation observed during the demo: the model was trained on clean 30-second YouTube audio clips. When tested with microphone recordings of audio playing through phone speakers, room acoustics and compression artifacts shift the Librosa feature distribution significantly, causing the audio branch to degrade rather than improve predictions. This is a training–inference distribution mismatch, not a model bug.</w:t>
      </w:r>
    </w:p>
    <w:p>
      <w:pPr>
        <w:pBdr>
          <w:bottom w:val="single" w:color="AAAAAA" w:sz="4" w:space="4"/>
        </w:pBdr>
        <w:spacing w:after="80" w:before="260" w:line="264"/>
      </w:pPr>
      <w:r>
        <w:rPr>
          <w:rFonts w:ascii="Times New Roman" w:cs="Times New Roman" w:eastAsia="Times New Roman" w:hAnsi="Times New Roman"/>
          <w:b/>
          <w:bCs/>
          <w:sz w:val="24"/>
          <w:szCs w:val="24"/>
        </w:rPr>
        <w:t xml:space="preserve">5  Retrospective</w:t>
      </w:r>
    </w:p>
    <w:p>
      <w:pPr>
        <w:spacing w:after="180" w:before="0" w:line="264"/>
        <w:jc w:val="both"/>
      </w:pPr>
      <w:r>
        <w:rPr>
          <w:rFonts w:ascii="Times New Roman" w:cs="Times New Roman" w:eastAsia="Times New Roman" w:hAnsi="Times New Roman"/>
          <w:b/>
          <w:bCs/>
          <w:sz w:val="22"/>
          <w:szCs w:val="22"/>
        </w:rPr>
        <w:t xml:space="preserve">What I would do differently. </w:t>
      </w:r>
      <w:r>
        <w:rPr>
          <w:rFonts w:ascii="Times New Roman" w:cs="Times New Roman" w:eastAsia="Times New Roman" w:hAnsi="Times New Roman"/>
          <w:sz w:val="22"/>
          <w:szCs w:val="22"/>
        </w:rPr>
        <w:t xml:space="preserve">Start with Essentia on day one. The Spotify deprecation was foreseeable—any third-party API is a single point of failure for a dataset label pipeline. I would also invest more time upfront in dataset curation: the emotion labels derived from Essentia pre-trained models inherit their biases, and a smaller hand-validated label subset would make evaluation more reliable. Finally, I would begin the web application earlier to avoid last-minute friction with Docker configuration and Git LFS.</w:t>
      </w:r>
    </w:p>
    <w:p>
      <w:pPr>
        <w:spacing w:after="180" w:before="0" w:line="264"/>
        <w:jc w:val="both"/>
      </w:pPr>
      <w:r>
        <w:rPr>
          <w:rFonts w:ascii="Times New Roman" w:cs="Times New Roman" w:eastAsia="Times New Roman" w:hAnsi="Times New Roman"/>
          <w:b/>
          <w:bCs/>
          <w:sz w:val="22"/>
          <w:szCs w:val="22"/>
        </w:rPr>
        <w:t xml:space="preserve">What surprised me most. </w:t>
      </w:r>
      <w:r>
        <w:rPr>
          <w:rFonts w:ascii="Times New Roman" w:cs="Times New Roman" w:eastAsia="Times New Roman" w:hAnsi="Times New Roman"/>
          <w:sz w:val="22"/>
          <w:szCs w:val="22"/>
        </w:rPr>
        <w:t xml:space="preserve">The near-zero text-only valence correlation (r = 0.032). RoBERTa encodes rich lexical sentiment, yet it fails almost completely at predicting Essentia acoustic valence. This reveals a fundamental mismatch: Essentia valence is derived from acoustic properties (tempo, mode, spectral brightness) rather than semantic content. A song can be linguistically upbeat while being acoustically melancholic, and the model cannot bridge that gap from text alone.</w:t>
      </w:r>
    </w:p>
    <w:p>
      <w:pPr>
        <w:spacing w:after="180" w:before="0" w:line="264"/>
        <w:jc w:val="both"/>
      </w:pPr>
      <w:r>
        <w:rPr>
          <w:rFonts w:ascii="Times New Roman" w:cs="Times New Roman" w:eastAsia="Times New Roman" w:hAnsi="Times New Roman"/>
          <w:b/>
          <w:bCs/>
          <w:sz w:val="22"/>
          <w:szCs w:val="22"/>
        </w:rPr>
        <w:t xml:space="preserve">Where time actually went. </w:t>
      </w:r>
      <w:r>
        <w:rPr>
          <w:rFonts w:ascii="Times New Roman" w:cs="Times New Roman" w:eastAsia="Times New Roman" w:hAnsi="Times New Roman"/>
          <w:sz w:val="22"/>
          <w:szCs w:val="22"/>
        </w:rPr>
        <w:t xml:space="preserve">Expected vs. actual: data pipeline (expected 20%, actual ~60%); model architecture and training (expected 50%, actual ~20%); web application and deployment (expected 20%, actual ~15%); unexpected debugging and pivots (expected 10%, actual ~25%). The data pipeline consumed the project.</w:t>
      </w:r>
    </w:p>
    <w:p>
      <w:pPr>
        <w:spacing w:after="180" w:before="0" w:line="264"/>
        <w:jc w:val="both"/>
      </w:pPr>
      <w:r>
        <w:rPr>
          <w:rFonts w:ascii="Times New Roman" w:cs="Times New Roman" w:eastAsia="Times New Roman" w:hAnsi="Times New Roman"/>
          <w:b/>
          <w:bCs/>
          <w:sz w:val="22"/>
          <w:szCs w:val="22"/>
        </w:rPr>
        <w:t xml:space="preserve">Core lesson. </w:t>
      </w:r>
      <w:r>
        <w:rPr>
          <w:rFonts w:ascii="Times New Roman" w:cs="Times New Roman" w:eastAsia="Times New Roman" w:hAnsi="Times New Roman"/>
          <w:sz w:val="22"/>
          <w:szCs w:val="22"/>
        </w:rPr>
        <w:t xml:space="preserve">Data engineering is the project. Model architecture decisions had far less impact on final accuracy than data quality, label accuracy, and collection robustness. A simpler model on better data would likely have outperformed the current architecture on worse data.</w:t>
      </w:r>
    </w:p>
    <w:p>
      <w:pPr>
        <w:pBdr>
          <w:bottom w:val="single" w:color="AAAAAA" w:sz="4" w:space="4"/>
        </w:pBdr>
        <w:spacing w:after="80" w:before="260" w:line="264"/>
      </w:pPr>
      <w:r>
        <w:rPr>
          <w:rFonts w:ascii="Times New Roman" w:cs="Times New Roman" w:eastAsia="Times New Roman" w:hAnsi="Times New Roman"/>
          <w:b/>
          <w:bCs/>
          <w:sz w:val="24"/>
          <w:szCs w:val="24"/>
        </w:rPr>
        <w:t xml:space="preserve">6  Tools &amp; LLM Usage</w:t>
      </w:r>
    </w:p>
    <w:p>
      <w:pPr>
        <w:spacing w:after="180" w:before="0" w:line="264"/>
        <w:jc w:val="both"/>
      </w:pPr>
      <w:r>
        <w:rPr>
          <w:rFonts w:ascii="Times New Roman" w:cs="Times New Roman" w:eastAsia="Times New Roman" w:hAnsi="Times New Roman"/>
          <w:sz w:val="22"/>
          <w:szCs w:val="22"/>
        </w:rPr>
        <w:t xml:space="preserve">Project tools: PyTorch (model training), HuggingFace Transformers (RoBERTa), Librosa (audio feature extraction), Essentia/MTG Barcelona (audio labels), FastAPI (backend), HTML/CSS/Vanilla JavaScript (frontend), HuggingFace Spaces with Docker (deployment), Google Colab Pro (GPU training), yt-dlp (audio collection), lyricsgenius (lyrics).</w:t>
      </w:r>
    </w:p>
    <w:p>
      <w:pPr>
        <w:spacing w:after="180" w:before="0" w:line="264"/>
        <w:jc w:val="both"/>
      </w:pPr>
      <w:r>
        <w:rPr>
          <w:rFonts w:ascii="Times New Roman" w:cs="Times New Roman" w:eastAsia="Times New Roman" w:hAnsi="Times New Roman"/>
          <w:sz w:val="22"/>
          <w:szCs w:val="22"/>
        </w:rPr>
        <w:t xml:space="preserve">LLM usage: Claude (Anthropic) was used throughout the project for debugging Python and JavaScript code, assisting with web application development and CSS styling, and helping structure and draft this final report from existing project notes. All model architecture decisions, dataset construction, training runs, and quantitative analysis were performed by the author.</w:t>
      </w:r>
    </w:p>
    <w:p>
      <w:pPr>
        <w:pBdr>
          <w:bottom w:val="single" w:color="AAAAAA" w:sz="4" w:space="4"/>
        </w:pBdr>
        <w:spacing w:after="80" w:before="260" w:line="264"/>
      </w:pPr>
      <w:r>
        <w:rPr>
          <w:rFonts w:ascii="Times New Roman" w:cs="Times New Roman" w:eastAsia="Times New Roman" w:hAnsi="Times New Roman"/>
          <w:b/>
          <w:bCs/>
          <w:sz w:val="24"/>
          <w:szCs w:val="24"/>
        </w:rPr>
        <w:t xml:space="preserve">References  </w:t>
      </w:r>
    </w:p>
    <w:p>
      <w:pPr>
        <w:spacing w:after="180" w:before="0" w:line="264"/>
      </w:pPr>
      <w:r>
        <w:rPr>
          <w:rFonts w:ascii="Times New Roman" w:cs="Times New Roman" w:eastAsia="Times New Roman" w:hAnsi="Times New Roman"/>
          <w:sz w:val="22"/>
          <w:szCs w:val="22"/>
        </w:rPr>
        <w:t xml:space="preserve">[1] Kendall, A., Gal, Y., &amp; Cipolla, R. (2018). Multi-task learning using uncertainty to weigh losses for scene geometry and semantics. Proceedings of CVPR.</w:t>
      </w:r>
    </w:p>
    <w:p>
      <w:pPr>
        <w:spacing w:after="180" w:before="0" w:line="264"/>
      </w:pPr>
      <w:r>
        <w:rPr>
          <w:rFonts w:ascii="Times New Roman" w:cs="Times New Roman" w:eastAsia="Times New Roman" w:hAnsi="Times New Roman"/>
          <w:sz w:val="22"/>
          <w:szCs w:val="22"/>
        </w:rPr>
        <w:t xml:space="preserve">[2] Liu, Y., Ott, M., Goyal, N., et al. (2019). RoBERTa: A Robustly Optimized BERT Pretraining Approach. arXiv:1907.11692.</w:t>
      </w:r>
    </w:p>
    <w:p>
      <w:pPr>
        <w:spacing w:after="180" w:before="0" w:line="264"/>
      </w:pPr>
      <w:r>
        <w:rPr>
          <w:rFonts w:ascii="Times New Roman" w:cs="Times New Roman" w:eastAsia="Times New Roman" w:hAnsi="Times New Roman"/>
          <w:sz w:val="22"/>
          <w:szCs w:val="22"/>
        </w:rPr>
        <w:t xml:space="preserve">[3] Bogdanov, D., Wack, N., Gómez, E., et al. (2013). ESSENTIA: an Audio Analysis Library for Music Information Retrieval. ISMIR.</w:t>
      </w:r>
    </w:p>
    <w:p>
      <w:pPr>
        <w:spacing w:after="180" w:before="0" w:line="264"/>
      </w:pPr>
      <w:r>
        <w:rPr>
          <w:rFonts w:ascii="Times New Roman" w:cs="Times New Roman" w:eastAsia="Times New Roman" w:hAnsi="Times New Roman"/>
          <w:sz w:val="22"/>
          <w:szCs w:val="22"/>
        </w:rPr>
        <w:t xml:space="preserve">[4] McFee, B., Raffel, C., Liang, D., et al. (2015). librosa: Audio and Music Signal Analysis in Python. Proceedings of the 14th Python in Science Conference (SciPy).</w:t>
      </w:r>
    </w:p>
    <w:p>
      <w:pPr>
        <w:spacing w:after="180" w:before="0" w:line="264"/>
      </w:pPr>
      <w:r>
        <w:rPr>
          <w:rFonts w:ascii="Times New Roman" w:cs="Times New Roman" w:eastAsia="Times New Roman" w:hAnsi="Times New Roman"/>
          <w:sz w:val="22"/>
          <w:szCs w:val="22"/>
        </w:rPr>
        <w:t xml:space="preserve">[5] Russell, J. A. (1980). A circumplex model of affect. Journal of Personality and Social Psychology, 39(6), 1161–1178.</w:t>
      </w:r>
    </w:p>
    <w:p>
      <w:pPr>
        <w:spacing w:after="180" w:before="0" w:line="264"/>
      </w:pPr>
      <w:r>
        <w:rPr>
          <w:rFonts w:ascii="Times New Roman" w:cs="Times New Roman" w:eastAsia="Times New Roman" w:hAnsi="Times New Roman"/>
          <w:sz w:val="22"/>
          <w:szCs w:val="22"/>
        </w:rPr>
        <w:t xml:space="preserve">[6] Mauch, M., &amp; Dixon, S. (2012). A corpus-based study of rhythm patterns. ISMIR.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2026-06-18T06:09:35.857Z</dcterms:created>
  <dcterms:modified xsi:type="dcterms:W3CDTF">2026-06-18T06:09:35.857Z</dcterms:modified>
</cp:coreProperties>
</file>

<file path=docProps/custom.xml><?xml version="1.0" encoding="utf-8"?>
<Properties xmlns="http://schemas.openxmlformats.org/officeDocument/2006/custom-properties" xmlns:vt="http://schemas.openxmlformats.org/officeDocument/2006/docPropsVTypes"/>
</file>