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b/>
          <w:bCs/>
          <w:sz w:val="30"/>
          <w:szCs w:val="30"/>
        </w:rPr>
        <w:t xml:space="preserve">UNIVERSITÀ DEGLI STUDI DI PALERMO</w:t>
      </w:r>
    </w:p>
    <w:p>
      <w:pPr>
        <w:spacing w:after="0"/>
        <w:jc w:val="center"/>
      </w:pPr>
      <w:r>
        <w:rPr>
          <w:sz w:val="26"/>
          <w:szCs w:val="26"/>
        </w:rPr>
        <w:t xml:space="preserve">DIPARTIMENTO DI INGEGNERIA</w:t>
      </w:r>
    </w:p>
    <w:p>
      <w:pPr>
        <w:spacing w:after="600"/>
        <w:jc w:val="center"/>
      </w:pPr>
      <w:r>
        <w:rPr>
          <w:sz w:val="24"/>
          <w:szCs w:val="24"/>
        </w:rPr>
        <w:t xml:space="preserve">CORSO DI LAUREA IN INGEGNERIA INFORMATICA</w:t>
      </w:r>
    </w:p>
    <w:p>
      <w:pPr>
        <w:pBdr>
          <w:top w:val="single" w:color="1F3864" w:sz="6" w:space="12"/>
        </w:pBdr>
        <w:spacing w:after="0" w:before="800"/>
        <w:jc w:val="center"/>
      </w:pPr>
      <w:r>
        <w:rPr>
          <w:b/>
          <w:bCs/>
          <w:color w:val="1F3864"/>
          <w:sz w:val="56"/>
          <w:szCs w:val="56"/>
        </w:rPr>
        <w:t xml:space="preserve">Object Design Document</w:t>
      </w:r>
    </w:p>
    <w:p>
      <w:pPr>
        <w:spacing w:after="0"/>
        <w:jc w:val="center"/>
      </w:pPr>
      <w:r>
        <w:rPr>
          <w:i/>
          <w:iCs/>
          <w:sz w:val="28"/>
          <w:szCs w:val="28"/>
        </w:rPr>
        <w:t xml:space="preserve">Specifiche di Progettazione a Oggetti</w:t>
      </w:r>
    </w:p>
    <w:p>
      <w:pPr>
        <w:pBdr>
          <w:bottom w:val="single" w:color="1F3864" w:sz="6" w:space="12"/>
        </w:pBdr>
        <w:spacing w:after="800" w:before="240"/>
        <w:jc w:val="center"/>
      </w:pPr>
      <w:r>
        <w:rPr>
          <w:b/>
          <w:bCs/>
          <w:sz w:val="64"/>
          <w:szCs w:val="64"/>
        </w:rPr>
        <w:t xml:space="preserve">ArtID</w:t>
      </w:r>
    </w:p>
    <w:p>
      <w:pPr>
        <w:spacing w:after="60" w:before="600"/>
        <w:jc w:val="center"/>
      </w:pPr>
      <w:r>
        <w:rPr>
          <w:b/>
          <w:bCs/>
          <w:sz w:val="24"/>
          <w:szCs w:val="24"/>
        </w:rPr>
        <w:t xml:space="preserve">Team di Sviluppo</w:t>
      </w:r>
    </w:p>
    <w:p>
      <w:pPr>
        <w:spacing w:after="0"/>
        <w:jc w:val="center"/>
      </w:pPr>
      <w:r>
        <w:rPr>
          <w:sz w:val="24"/>
          <w:szCs w:val="24"/>
        </w:rPr>
        <w:t xml:space="preserve">Andrea Sciortino</w:t>
      </w:r>
    </w:p>
    <w:p>
      <w:pPr>
        <w:spacing w:after="0"/>
        <w:jc w:val="center"/>
      </w:pPr>
      <w:r>
        <w:rPr>
          <w:sz w:val="24"/>
          <w:szCs w:val="24"/>
        </w:rPr>
        <w:t xml:space="preserve">Davide Alaimo</w:t>
      </w:r>
    </w:p>
    <w:p>
      <w:pPr>
        <w:spacing w:after="0"/>
        <w:jc w:val="center"/>
      </w:pPr>
      <w:r>
        <w:rPr>
          <w:sz w:val="24"/>
          <w:szCs w:val="24"/>
        </w:rPr>
        <w:t xml:space="preserve">Gabriele Iovino</w:t>
      </w:r>
    </w:p>
    <w:p>
      <w:pPr>
        <w:spacing w:after="320"/>
        <w:jc w:val="center"/>
      </w:pPr>
      <w:r>
        <w:rPr>
          <w:sz w:val="24"/>
          <w:szCs w:val="24"/>
        </w:rPr>
        <w:t xml:space="preserve">Giovanni Luca Cusano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Supervisore</w:t>
      </w:r>
    </w:p>
    <w:p>
      <w:pPr>
        <w:spacing w:after="320"/>
        <w:jc w:val="center"/>
      </w:pPr>
      <w:r>
        <w:rPr>
          <w:sz w:val="24"/>
          <w:szCs w:val="24"/>
        </w:rPr>
        <w:t xml:space="preserve">Prof.ssa Valeria Seidita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Anno Accademico</w:t>
      </w:r>
    </w:p>
    <w:p>
      <w:pPr>
        <w:jc w:val="center"/>
      </w:pPr>
      <w:r>
        <w:rPr>
          <w:sz w:val="24"/>
          <w:szCs w:val="24"/>
        </w:rPr>
        <w:t xml:space="preserve">2025 –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spacing w:after="120" w:line="276"/>
        <w:jc w:val="both"/>
      </w:pPr>
      <w:r>
        <w:rPr>
          <w:b/>
          <w:bCs/>
        </w:rPr>
        <w:t xml:space="preserve">Premessa. </w:t>
      </w:r>
      <w:r>
        <w:t xml:space="preserve">Il presente Object Design Document (ODD) descrive la progettazione di dettaglio del sistema software ArtID, scendendo dal livello architetturale del System Design Document (SDD) a quello degli oggetti: l'organizzazione del codice in package, le librerie e le tecnologie adottate, le scelte di progettazione e le responsabilità delle singole classi. Il documento integra l'SDD e il Requirements Analysis Document (RAD), ai quali si rimanda per i requisiti, lo stile architetturale a tre livelli e lo schema dei dati.</w:t>
      </w:r>
    </w:p>
    <w:p>
      <w:pPr>
        <w:pStyle w:val="Heading2"/>
      </w:pPr>
      <w:r>
        <w:t xml:space="preserve">1.1 Prestazioni e costi</w:t>
      </w:r>
    </w:p>
    <w:p>
      <w:pPr>
        <w:spacing w:after="120" w:line="276"/>
        <w:jc w:val="both"/>
      </w:pPr>
      <w:r>
        <w:t xml:space="preserve">Per la realizzazione di ArtID sono state impiegate esclusivamente tecnologie e librerie open source, minimizzando i tempi e i costi di sviluppo e di esercizio e ottenendo al contempo prestazioni adeguate al dominio applicativo.</w:t>
      </w:r>
    </w:p>
    <w:p>
      <w:pPr>
        <w:spacing w:after="120" w:line="276"/>
        <w:jc w:val="both"/>
      </w:pPr>
      <w:r>
        <w:t xml:space="preserve">A differenza di sistemi che richiedono hardware specializzato — ad esempio GPU abilitate CUDA per l'inferenza di modelli linguistici — ArtID è una tradizionale applicazione web a tre livelli e non necessita di risorse di calcolo dedicate: il carico è dominato da operazioni di I/O verso il database e verso lo storage. Il livello di presentazione è distribuibile su piattaforma serverless (Vercel, tramite l'adapter dedicato), il livello applicativo gira su una JVM standard e la persistenza relazionale è affidata a PostgreSQL; i contenuti binari sono delegati a un servizio di object storage gestito, evitando i costi e la complessità di un'infrastruttura di archiviazione proprietaria.</w:t>
      </w:r>
    </w:p>
    <w:p>
      <w:pPr>
        <w:pStyle w:val="Heading2"/>
      </w:pPr>
      <w:r>
        <w:t xml:space="preserve">1.2 Sviluppo Front-End</w:t>
      </w:r>
    </w:p>
    <w:p>
      <w:pPr>
        <w:spacing w:after="120" w:line="276"/>
        <w:jc w:val="both"/>
      </w:pPr>
      <w:r>
        <w:t xml:space="preserve">L'interfaccia di ArtID privilegia semplicità e immediatezza: grazie a un layout lineare, essenziale e responsive, consente la migliore interazione possibile anche a un'utenza priva di competenze tecniche avanzate. Ove possibile, errori e messaggi rivolti all'utente sono resi non bloccanti — tramite notifiche toast — per non interrompere il flusso di lavoro.</w:t>
      </w:r>
    </w:p>
    <w:p>
      <w:pPr>
        <w:spacing w:after="120" w:line="276"/>
        <w:jc w:val="both"/>
      </w:pPr>
      <w:r>
        <w:t xml:space="preserve">L'applicazione è sviluppata con </w:t>
      </w:r>
      <w:r>
        <w:rPr>
          <w:b/>
          <w:bCs/>
        </w:rPr>
        <w:t xml:space="preserve">SvelteKit</w:t>
      </w:r>
      <w:r>
        <w:t xml:space="preserve"> (Svelte 5, modalità Runes) e </w:t>
      </w:r>
      <w:r>
        <w:rPr>
          <w:b/>
          <w:bCs/>
        </w:rPr>
        <w:t xml:space="preserve">Bootstrap</w:t>
      </w:r>
      <w:r>
        <w:t xml:space="preserve">, con rendering ibrido lato server (SSR) e lato client (CSR). SvelteKit adotta un modello di routing e rendering basato su file; esso è stato ricondotto al modello </w:t>
      </w:r>
      <w:r>
        <w:rPr>
          <w:b/>
          <w:bCs/>
        </w:rPr>
        <w:t xml:space="preserve">ECB (Entity-Control-Boundary)</w:t>
      </w:r>
      <w:r>
        <w:t xml:space="preserve"> adottato in fase di analisi, secondo le seguenti corrispondenze: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Boundary: </w:t>
      </w:r>
      <w:r>
        <w:t xml:space="preserve">pagine e componenti Svelte che presentano l'interfaccia e raccolgono l'input dell'utente.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Control: </w:t>
      </w:r>
      <w:r>
        <w:t xml:space="preserve">funzioni di </w:t>
      </w:r>
      <w:r>
        <w:rPr>
          <w:rFonts w:ascii="Consolas" w:cs="Consolas" w:eastAsia="Consolas" w:hAnsi="Consolas"/>
          <w:sz w:val="20"/>
          <w:szCs w:val="20"/>
        </w:rPr>
        <w:t xml:space="preserve">load</w:t>
      </w:r>
      <w:r>
        <w:t xml:space="preserve">, azioni server ed endpoint proxy (</w:t>
      </w:r>
      <w:r>
        <w:rPr>
          <w:rFonts w:ascii="Consolas" w:cs="Consolas" w:eastAsia="Consolas" w:hAnsi="Consolas"/>
          <w:sz w:val="20"/>
          <w:szCs w:val="20"/>
        </w:rPr>
        <w:t xml:space="preserve">+page.server.ts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+server.ts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hooks.server.ts</w:t>
      </w:r>
      <w:r>
        <w:t xml:space="preserve">) che mediano le richieste verso il back-end e gestiscono sessione e redirect.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Entity: </w:t>
      </w:r>
      <w:r>
        <w:t xml:space="preserve">modelli tipizzati e schemi di validazione (Zod) che rappresentano i dati di dominio lato client.</w:t>
      </w:r>
    </w:p>
    <w:p>
      <w:pPr>
        <w:pStyle w:val="Heading3"/>
      </w:pPr>
      <w:r>
        <w:t xml:space="preserve">1.2.1 Librerie Front-End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48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Libreria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Versione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@sveltejs/kit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 full-stack: routing file-based, SSR/CSR, endpoint server.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svelte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Libreria UI a componenti reattivi (modalità Runes).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@sveltejs/adapter-vercel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di build per il deployment su Vercel.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tool e dev server con Hot Module Replacement.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bootstrap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5.3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Framework CSS responsive.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@sveltestrap/sveltestrap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Componenti Bootstrap idiomatici per Svelte.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bootstrap-icons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1.13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di icone vettoriali.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sass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Preprocessore CSS.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zod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Validazione e derivazione dei tipi a runtime (schemi di dominio e DTO).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openapi-fetch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HTTP tipizzato sullo schema OpenAPI del back-end.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openapi-typescript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dei tipi TypeScript dallo schema OpenAPI (dev).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quill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Editor di testo ricco per le descrizioni dei materiali.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svelte-sonner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1.x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Notifiche toast non bloccanti.</w:t>
            </w:r>
          </w:p>
        </w:tc>
      </w:tr>
    </w:tbl>
    <w:p>
      <w:pPr>
        <w:pStyle w:val="Heading2"/>
      </w:pPr>
      <w:r>
        <w:t xml:space="preserve">1.3 Sviluppo Back-End</w:t>
      </w:r>
    </w:p>
    <w:p>
      <w:pPr>
        <w:spacing w:after="120" w:line="276"/>
        <w:jc w:val="both"/>
      </w:pPr>
      <w:r>
        <w:t xml:space="preserve">Lo sviluppo lato server adotta </w:t>
      </w:r>
      <w:r>
        <w:rPr>
          <w:b/>
          <w:bCs/>
        </w:rPr>
        <w:t xml:space="preserve">Spring Boot 4</w:t>
      </w:r>
      <w:r>
        <w:t xml:space="preserve"> su </w:t>
      </w:r>
      <w:r>
        <w:rPr>
          <w:b/>
          <w:bCs/>
        </w:rPr>
        <w:t xml:space="preserve">Java 17</w:t>
      </w:r>
      <w:r>
        <w:t xml:space="preserve">, con architettura a strati (</w:t>
      </w:r>
      <w:r>
        <w:rPr>
          <w:rFonts w:ascii="Consolas" w:cs="Consolas" w:eastAsia="Consolas" w:hAnsi="Consolas"/>
          <w:sz w:val="20"/>
          <w:szCs w:val="20"/>
        </w:rPr>
        <w:t xml:space="preserve">controller → service → dao</w:t>
      </w:r>
      <w:r>
        <w:t xml:space="preserve">) che separa nettamente l'esposizione delle API, la logica di business e l'accesso ai dati. Le API sono REST e </w:t>
      </w:r>
      <w:r>
        <w:rPr>
          <w:b/>
          <w:bCs/>
        </w:rPr>
        <w:t xml:space="preserve">stateless</w:t>
      </w:r>
      <w:r>
        <w:t xml:space="preserve">: ogni richiesta è autenticata in modo indipendente tramite token JWT, abilitando la scalabilità orizzontale del livello applicativo.</w:t>
      </w:r>
    </w:p>
    <w:p>
      <w:pPr>
        <w:spacing w:after="120" w:line="276"/>
        <w:jc w:val="both"/>
      </w:pPr>
      <w:r>
        <w:t xml:space="preserve">La persistenza relazionale è gestita con </w:t>
      </w:r>
      <w:r>
        <w:rPr>
          <w:b/>
          <w:bCs/>
        </w:rPr>
        <w:t xml:space="preserve">Spring Data JDBC</w:t>
      </w:r>
      <w:r>
        <w:t xml:space="preserve"> e, dove servono query o aggregazioni puntuali, con </w:t>
      </w:r>
      <w:r>
        <w:rPr>
          <w:rFonts w:ascii="Consolas" w:cs="Consolas" w:eastAsia="Consolas" w:hAnsi="Consolas"/>
          <w:sz w:val="20"/>
          <w:szCs w:val="20"/>
        </w:rPr>
        <w:t xml:space="preserve">JdbcTemplate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NamedParameterJdbcTemplate</w:t>
      </w:r>
      <w:r>
        <w:t xml:space="preserve">; i contenuti binari sono delegati a un object storage S3-compatibile. La specifica </w:t>
      </w:r>
      <w:r>
        <w:rPr>
          <w:b/>
          <w:bCs/>
        </w:rPr>
        <w:t xml:space="preserve">OpenAPI</w:t>
      </w:r>
      <w:r>
        <w:t xml:space="preserve"> (springdoc) costituisce il contratto condiviso dal quale il client genera i propri tipi, garantendo coerenza end-to-end. La sicurezza è gestita da Spring Security (filtro JWT, codifica BCrypt); il boilerplate è ridotto con Lombok.</w:t>
      </w:r>
    </w:p>
    <w:p>
      <w:pPr>
        <w:pStyle w:val="Heading3"/>
      </w:pPr>
      <w:r>
        <w:t xml:space="preserve">1.3.1 Librerie Back-End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2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Libreria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Versione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spring-boot-starter-web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MVC REST, server embedded, serializzazione JSON.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spring-boot-starter-data-jdbc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Repository e mapping relazionale (Spring Data JDBC).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spring-boot-starter-jdbc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JdbcTemplate, datasource e gestione delle transazioni.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spring-boot-starter-security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4.0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Autenticazione, autorizzazione e catena di filtri.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Driver JDBC per PostgreSQL.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jjwt (api/impl/jackson)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0.12.6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e verifica dei token JWT.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springdoc-openapi-starter-webmvc-ui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2.8.8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Esposizione della specifica OpenAPI e Swagger UI.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software.amazon.awssdk:s3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2.31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S3 per l'object storage (Supabase Storage).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lombok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Riduzione del boilerplate (@Data, @RequiredArgsConstructor).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spring-boot-devtools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Hot reload in fase di sviluppo.</w:t>
            </w:r>
          </w:p>
        </w:tc>
      </w:tr>
    </w:tbl>
    <w:p>
      <w:pPr>
        <w:pStyle w:val="Heading2"/>
      </w:pPr>
      <w:r>
        <w:t xml:space="preserve">1.4 Tempi di risposta</w:t>
      </w:r>
    </w:p>
    <w:p>
      <w:pPr>
        <w:spacing w:after="120" w:line="276"/>
        <w:jc w:val="both"/>
      </w:pPr>
      <w:r>
        <w:t xml:space="preserve">I tempi di risposta delle operazioni CRUD sono nell'ordine di pochi secondi e tendono a crescere con l'aumentare dei dati nel database; sono mitigati da indicizzazione, conteggi aggregati e pooling delle connessioni. I tempi di caricamento e download dei file dipendono dalla loro dimensione e dal round-trip verso l'object storage; per il download delle immagini di profilo si impiegano URL firmati (presigned), così che i byte transitino direttamente tra browser e storage senza gravare sul nodo applicativo. A differenza dei sistemi basati su modelli linguistici, ArtID non presenta latenze imprevedibili: tutte le operazioni hanno un costo sostanzialmente deterministico.</w:t>
      </w:r>
    </w:p>
    <w:p>
      <w:pPr>
        <w:pStyle w:val="Heading2"/>
      </w:pPr>
      <w:r>
        <w:t xml:space="preserve">1.5 Linee guida per la documentazione delle interfacce</w:t>
      </w:r>
    </w:p>
    <w:p>
      <w:pPr>
        <w:spacing w:after="120" w:line="276"/>
        <w:jc w:val="both"/>
      </w:pPr>
      <w:r>
        <w:t xml:space="preserve">Le interfacce sono realizzate con SvelteKit e Bootstrap, con l'obiettivo di offrire schermate essenziali, coerenti e immediate. La componentizzazione (cartella lib/components, suddivisa in primitive UI, componenti di pagina ed elementi di layout) favorisce il riuso e l'uniformità visiva, mentre l'impiego di stili condivisi assicura un design moderno e responsive su dispositivi desktop e mobile.</w:t>
      </w:r>
    </w:p>
    <w:p>
      <w:pPr>
        <w:pStyle w:val="Heading2"/>
      </w:pPr>
      <w:r>
        <w:t xml:space="preserve">1.6 Linee guida per la documentazione del DBMS</w:t>
      </w:r>
    </w:p>
    <w:p>
      <w:pPr>
        <w:spacing w:after="120" w:line="276"/>
        <w:jc w:val="both"/>
      </w:pPr>
      <w:r>
        <w:t xml:space="preserve">Il DBMS scelto è </w:t>
      </w:r>
      <w:r>
        <w:rPr>
          <w:b/>
          <w:bCs/>
        </w:rPr>
        <w:t xml:space="preserve">PostgreSQL</w:t>
      </w:r>
      <w:r>
        <w:t xml:space="preserve">, nel deployment corrente erogato come servizio gestito da Supabase. L'interazione avviene tramite Spring Data JDBC e query parametrizzate, a protezione da SQL injection, nel rispetto delle proprietà ACID; la cancellazione è logica (soft-delete) tramite il campo </w:t>
      </w:r>
      <w:r>
        <w:rPr>
          <w:rFonts w:ascii="Consolas" w:cs="Consolas" w:eastAsia="Consolas" w:hAnsi="Consolas"/>
          <w:sz w:val="20"/>
          <w:szCs w:val="20"/>
        </w:rPr>
        <w:t xml:space="preserve">deleted_at</w:t>
      </w:r>
      <w:r>
        <w:t xml:space="preserve">, a tutela dell'integrità referenziale e della tracciabilità storica. L'accesso al database è mediato esclusivamente dal nodo applicativo, che si connette con un'utenza dedicata; il client non interroga mai direttamente il database. Si raccomanda l'abilitazione di politiche di sicurezza a livello di riga (Row Level Security) come difesa in profondità. Per il dettaglio dello schema entità-relazione e del modello relazionale si rimanda al System Design Document (§3.6).</w:t>
      </w:r>
    </w:p>
    <w:p>
      <w:pPr>
        <w:pStyle w:val="Heading2"/>
      </w:pPr>
      <w:r>
        <w:t xml:space="preserve">1.7 Linee guida per la documentazione dello storage dei file</w:t>
      </w:r>
    </w:p>
    <w:p>
      <w:pPr>
        <w:spacing w:after="120" w:line="276"/>
        <w:jc w:val="both"/>
      </w:pPr>
      <w:r>
        <w:t xml:space="preserve">Per la persistenza dei contenuti binari (materiali, attestati e immagini di profilo) è impiegato un servizio di </w:t>
      </w:r>
      <w:r>
        <w:rPr>
          <w:b/>
          <w:bCs/>
        </w:rPr>
        <w:t xml:space="preserve">object storage S3-compatibile</w:t>
      </w:r>
      <w:r>
        <w:t xml:space="preserve"> — nel deployment corrente Supabase Storage — interrogato tramite l'AWS SDK for Java v2. La comunicazione avviene su HTTPS verso un servizio specializzato esterno, mantenendo il sistema modulare e scalabile e sgravando il DBMS dalla gestione dei BLOB.</w:t>
      </w:r>
    </w:p>
    <w:p>
      <w:pPr>
        <w:spacing w:after="120" w:line="276"/>
        <w:jc w:val="both"/>
      </w:pPr>
      <w:r>
        <w:t xml:space="preserve">Ogni file è identificato da una </w:t>
      </w:r>
      <w:r>
        <w:rPr>
          <w:b/>
          <w:bCs/>
        </w:rPr>
        <w:t xml:space="preserve">object key</w:t>
      </w:r>
      <w:r>
        <w:t xml:space="preserve"> opaca (UUID) scollegata dal nome originale, così da evitare collisioni e path traversal; i metadati (nome, estensione, tipo MIME, dimensione) risiedono nella tabella </w:t>
      </w:r>
      <w:r>
        <w:rPr>
          <w:rFonts w:ascii="Consolas" w:cs="Consolas" w:eastAsia="Consolas" w:hAnsi="Consolas"/>
          <w:sz w:val="20"/>
          <w:szCs w:val="20"/>
        </w:rPr>
        <w:t xml:space="preserve">file</w:t>
      </w:r>
      <w:r>
        <w:t xml:space="preserve">, mentre i byte sono conservati nel bucket. Il download di oggetti privati può avvenire tramite URL firmati a scadenza. L'intera interazione è incapsulata nella classe </w:t>
      </w:r>
      <w:r>
        <w:rPr>
          <w:rFonts w:ascii="Consolas" w:cs="Consolas" w:eastAsia="Consolas" w:hAnsi="Consolas"/>
          <w:sz w:val="20"/>
          <w:szCs w:val="20"/>
        </w:rPr>
        <w:t xml:space="preserve">StorageService</w:t>
      </w:r>
      <w:r>
        <w:t xml:space="preserve">, così che un eventuale cambio di provider non impatti la logica di business. La pulizia degli oggetti è coordinata con le transazioni del database: un upload viene rimosso in caso di rollback e la cancellazione fisica avviene solo a commit avvenuto, evitando file orfani o riferimenti incoerenti.</w:t>
      </w:r>
    </w:p>
    <w:p>
      <w:pPr>
        <w:pStyle w:val="Heading1"/>
      </w:pPr>
      <w:r>
        <w:t xml:space="preserve">2. Packages</w:t>
      </w:r>
    </w:p>
    <w:p>
      <w:pPr>
        <w:spacing w:after="120" w:line="276"/>
        <w:jc w:val="both"/>
      </w:pPr>
      <w:r>
        <w:t xml:space="preserve">Questo capitolo descrive l'organizzazione del software in package e i principali oggetti (classi) che li compongono, con le rispettive responsabilità. Il sistema si articola in due applicazioni: il package server </w:t>
      </w:r>
      <w:r>
        <w:rPr>
          <w:rFonts w:ascii="Consolas" w:cs="Consolas" w:eastAsia="Consolas" w:hAnsi="Consolas"/>
          <w:sz w:val="20"/>
          <w:szCs w:val="20"/>
        </w:rPr>
        <w:t xml:space="preserve">afam.artidserver</w:t>
      </w:r>
      <w:r>
        <w:t xml:space="preserve"> (Spring Boot) e il package client </w:t>
      </w:r>
      <w:r>
        <w:rPr>
          <w:rFonts w:ascii="Consolas" w:cs="Consolas" w:eastAsia="Consolas" w:hAnsi="Consolas"/>
          <w:sz w:val="20"/>
          <w:szCs w:val="20"/>
        </w:rPr>
        <w:t xml:space="preserve">artid-client</w:t>
      </w:r>
      <w:r>
        <w:t xml:space="preserve"> (SvelteKit), ciascuno suddiviso in sotto-package coesi e debolmente accoppiati.</w:t>
      </w:r>
    </w:p>
    <w:p>
      <w:pPr>
        <w:pStyle w:val="Heading2"/>
      </w:pPr>
      <w:r>
        <w:t xml:space="preserve">2.1 afam.artidserver</w:t>
      </w:r>
    </w:p>
    <w:p>
      <w:pPr>
        <w:spacing w:after="120" w:line="276"/>
        <w:jc w:val="both"/>
      </w:pPr>
      <w:r>
        <w:t xml:space="preserve">Package dell'applicazione server. Il punto di ingresso è la classe </w:t>
      </w:r>
      <w:r>
        <w:rPr>
          <w:rFonts w:ascii="Consolas" w:cs="Consolas" w:eastAsia="Consolas" w:hAnsi="Consolas"/>
          <w:sz w:val="20"/>
          <w:szCs w:val="20"/>
        </w:rPr>
        <w:t xml:space="preserve">ArtidServerApplication</w:t>
      </w:r>
      <w:r>
        <w:t xml:space="preserve">, che avvia il contesto Spring Boot. Il package è organizzato per strati architetturali: </w:t>
      </w:r>
      <w:r>
        <w:rPr>
          <w:rFonts w:ascii="Consolas" w:cs="Consolas" w:eastAsia="Consolas" w:hAnsi="Consolas"/>
          <w:sz w:val="20"/>
          <w:szCs w:val="20"/>
        </w:rPr>
        <w:t xml:space="preserve">controller</w:t>
      </w:r>
      <w:r>
        <w:t xml:space="preserve"> (boundary REST), </w:t>
      </w:r>
      <w:r>
        <w:rPr>
          <w:rFonts w:ascii="Consolas" w:cs="Consolas" w:eastAsia="Consolas" w:hAnsi="Consolas"/>
          <w:sz w:val="20"/>
          <w:szCs w:val="20"/>
        </w:rPr>
        <w:t xml:space="preserve">service</w:t>
      </w:r>
      <w:r>
        <w:t xml:space="preserve"> (logica di controllo), </w:t>
      </w:r>
      <w:r>
        <w:rPr>
          <w:rFonts w:ascii="Consolas" w:cs="Consolas" w:eastAsia="Consolas" w:hAnsi="Consolas"/>
          <w:sz w:val="20"/>
          <w:szCs w:val="20"/>
        </w:rPr>
        <w:t xml:space="preserve">dao</w:t>
      </w:r>
      <w:r>
        <w:t xml:space="preserve"> (accesso ai dati), </w:t>
      </w:r>
      <w:r>
        <w:rPr>
          <w:rFonts w:ascii="Consolas" w:cs="Consolas" w:eastAsia="Consolas" w:hAnsi="Consolas"/>
          <w:sz w:val="20"/>
          <w:szCs w:val="20"/>
        </w:rPr>
        <w:t xml:space="preserve">model.entity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model.dto</w:t>
      </w:r>
      <w:r>
        <w:t xml:space="preserve"> (oggetti di dominio e di trasferimento), oltre ai sotto-package trasversali </w:t>
      </w:r>
      <w:r>
        <w:rPr>
          <w:rFonts w:ascii="Consolas" w:cs="Consolas" w:eastAsia="Consolas" w:hAnsi="Consolas"/>
          <w:sz w:val="20"/>
          <w:szCs w:val="20"/>
        </w:rPr>
        <w:t xml:space="preserve">security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storage</w:t>
      </w:r>
      <w:r>
        <w:t xml:space="preserve">.</w:t>
      </w:r>
    </w:p>
    <w:p>
      <w:pPr>
        <w:pStyle w:val="Heading3"/>
      </w:pPr>
      <w:r>
        <w:t xml:space="preserve">2.1.1 controller</w:t>
      </w:r>
    </w:p>
    <w:p>
      <w:pPr>
        <w:spacing w:after="120" w:line="276"/>
        <w:jc w:val="both"/>
      </w:pPr>
      <w:r>
        <w:t xml:space="preserve">Espone le API REST (oggetti boundary del server). Ogni controller riceve il Membro autenticato tramite il principal di Spring Security e delega la logica al rispettivo service, restituendo DTO tipizzati.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26"/>
        <w:gridCol w:w="18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 base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Registrazione, login e recupero dell'utente corrente; rilascio del token JWT.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Lettura dei Membri (elenco e dettaglio).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/api/users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ProfileController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Lettura e aggiornamento del profilo; percentuale di completamento.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/api/profile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dei materiali e streaming del contenuto dei file.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/api/resources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ArtidController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dei contenitori ArtID (composizione, tag, visibilità, preferiti).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/api/artids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CertificationController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degli attestati (CRUD, download).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/api/certifications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ShareController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Condivisioni interne ed esterne e relativo tracciamento.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/api/shares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DashboardController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Riepilogo aggregato (conteggi) per la dashboard.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/api/dashboard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Notifiche del Membro (elenco e marcatura di lettura).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/api/notifications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DiscoveryController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Ricerca di profili e contenuti pubblici per nome o competenze.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/api/discovery</w:t>
            </w:r>
          </w:p>
        </w:tc>
      </w:tr>
    </w:tbl>
    <w:p>
      <w:pPr>
        <w:pStyle w:val="Heading3"/>
      </w:pPr>
      <w:r>
        <w:t xml:space="preserve">2.1.2 service</w:t>
      </w:r>
    </w:p>
    <w:p>
      <w:pPr>
        <w:spacing w:after="120" w:line="276"/>
        <w:jc w:val="both"/>
      </w:pPr>
      <w:r>
        <w:t xml:space="preserve">Contiene la logica di business e di controllo. I service validano gli input, applicano le regole di dominio e l'autorizzazione per appartenenza (ownership), orchestrano DAO e </w:t>
      </w:r>
      <w:r>
        <w:rPr>
          <w:rFonts w:ascii="Consolas" w:cs="Consolas" w:eastAsia="Consolas" w:hAnsi="Consolas"/>
          <w:sz w:val="20"/>
          <w:szCs w:val="20"/>
        </w:rPr>
        <w:t xml:space="preserve">StorageService</w:t>
      </w:r>
      <w:r>
        <w:t xml:space="preserve"> e mappano le entità nei DTO. Le operazioni che modificano più record sono racchiuse in transazioni (</w:t>
      </w:r>
      <w:r>
        <w:rPr>
          <w:rFonts w:ascii="Consolas" w:cs="Consolas" w:eastAsia="Consolas" w:hAnsi="Consolas"/>
          <w:sz w:val="20"/>
          <w:szCs w:val="20"/>
        </w:rPr>
        <w:t xml:space="preserve">@Transactional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Persistenza e ricerca dei Membri; ricerca per email a supporto dell'autenticazione.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ProfileService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Lettura e aggiornamento dei dati di profilo; calcolo della percentuale di completamento.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Logica dei materiali: creazione/modifica/eliminazione transazionale, orchestrazione fra database e storage, mapping a DTO.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ArtidService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Logica dei contenitori ArtID: composizione dei materiali, tag, stato di visibilità, preferiti.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CertificationService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Logica degli attestati e dei relativi file.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ShareService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Condivisioni interne ed esterne: creazione, scadenza, attivazione/disattivazione, tracciamento degli accessi.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DashboardService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Aggregazione dei conteggi (materiali, ArtID, condivisioni, certificati) per la dashboard.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AvatarService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dell'immagine di profilo: upload e generazione di URL firmati verso lo storage.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e lettura delle notifiche destinate al Membro.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DiscoveryService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Ricerca dei profili e dei contenuti pubblici per dati nominativi e competenze.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AuditService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Registrazione delle azioni rilevanti nel registro di audit.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OtpService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e verifica dei codici OTP per la verifica in due passaggi.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SpidService</w:t>
            </w:r>
          </w:p>
        </w:tc>
        <w:tc>
          <w:tcPr>
            <w:tcW w:type="dxa" w:w="6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Integrazione con il provider di identità digitale (SPID/eIDAS).</w:t>
            </w:r>
          </w:p>
        </w:tc>
      </w:tr>
    </w:tbl>
    <w:p>
      <w:pPr>
        <w:pStyle w:val="Heading3"/>
      </w:pPr>
      <w:r>
        <w:t xml:space="preserve">2.1.3 dao</w:t>
      </w:r>
    </w:p>
    <w:p>
      <w:pPr>
        <w:spacing w:after="120" w:line="276"/>
        <w:jc w:val="both"/>
      </w:pPr>
      <w:r>
        <w:t xml:space="preserve">Realizza l'accesso ai dati secondo il pattern Repository. Le interfacce estendono </w:t>
      </w:r>
      <w:r>
        <w:rPr>
          <w:rFonts w:ascii="Consolas" w:cs="Consolas" w:eastAsia="Consolas" w:hAnsi="Consolas"/>
          <w:sz w:val="20"/>
          <w:szCs w:val="20"/>
        </w:rPr>
        <w:t xml:space="preserve">ListCrudRepository&lt;Entity, Long&gt;</w:t>
      </w:r>
      <w:r>
        <w:t xml:space="preserve"> di Spring Data JDBC, che genera automaticamente le operazioni CRUD; i finder derivati dal nome (ad esempio per filtrare i record non cancellati o contare per Membro) coprono le interrogazioni ricorrenti. Le tabelle di associazione (ad esempio </w:t>
      </w:r>
      <w:r>
        <w:rPr>
          <w:rFonts w:ascii="Consolas" w:cs="Consolas" w:eastAsia="Consolas" w:hAnsi="Consolas"/>
          <w:sz w:val="20"/>
          <w:szCs w:val="20"/>
        </w:rPr>
        <w:t xml:space="preserve">artid_resource</w:t>
      </w:r>
      <w:r>
        <w:t xml:space="preserve">) sono gestite con JdbcTemplate all'interno dei service.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 (interfaccia)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Entità gestita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 (finder soft-delete-aware, conteggi per Membro)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ArtidDAO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CertificationDAO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Certification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FileDAO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(metadati e object key)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InternalShareDAO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InternalShare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ExternalShareDAO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ExternalShare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VisibilityStateDAO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VisibilityState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AuditDAO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AuditLog</w:t>
            </w:r>
          </w:p>
        </w:tc>
      </w:tr>
    </w:tbl>
    <w:p>
      <w:pPr>
        <w:pStyle w:val="Heading3"/>
      </w:pPr>
      <w:r>
        <w:t xml:space="preserve">2.1.4 model.entity</w:t>
      </w:r>
    </w:p>
    <w:p>
      <w:pPr>
        <w:spacing w:after="120" w:line="276"/>
        <w:jc w:val="both"/>
      </w:pPr>
      <w:r>
        <w:t xml:space="preserve">Contiene le entità persistenti del dominio (oggetti entity), mappate sulle tabelle del DBMS tramite le annotazioni Spring Data JDBC (</w:t>
      </w:r>
      <w:r>
        <w:rPr>
          <w:rFonts w:ascii="Consolas" w:cs="Consolas" w:eastAsia="Consolas" w:hAnsi="Consolas"/>
          <w:sz w:val="20"/>
          <w:szCs w:val="20"/>
        </w:rPr>
        <w:t xml:space="preserve">@Table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@Column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@Id</w:t>
      </w:r>
      <w:r>
        <w:t xml:space="preserve">) e Lombok (</w:t>
      </w:r>
      <w:r>
        <w:rPr>
          <w:rFonts w:ascii="Consolas" w:cs="Consolas" w:eastAsia="Consolas" w:hAnsi="Consolas"/>
          <w:sz w:val="20"/>
          <w:szCs w:val="20"/>
        </w:rPr>
        <w:t xml:space="preserve">@Data</w:t>
      </w:r>
      <w:r>
        <w:t xml:space="preserve">). Per la struttura dettagliata delle tabelle si rimanda all'SDD (§3.6).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49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Tabella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Membro AFAM: credenziali, anagrafica, dati professionali e flag di visibilità.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resource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Materiale dell'utente; riferisce un File e un Membro; soft-delete.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Artid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artid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Contenitore dinamico; tag, copertina, stato di visibilità e preferito.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Metadati del file e object key (file_path) e dimensione; i byte risiedono sull'object storage.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Attestato dell'utente; riferisce un File.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InternalShare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internal_share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Condivisione di un ArtID verso un altro Membro.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ExternalShare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external_share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 esterno con scadenza, attivazione e tracciamento degli accessi.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tag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Etichetta di competenza/tematica associabile agli ArtID.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VisibilityState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visibility_states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Stato di visibilità: Pubblico, Privato, Unlisted.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ArtidResource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artid_resource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Associazione molti-a-molti materiale↔ArtID con ordinamento (rank).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 destinata al Membro.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AuditLog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audit_log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Voce del registro di audit delle operazioni.</w:t>
            </w:r>
          </w:p>
        </w:tc>
      </w:tr>
    </w:tbl>
    <w:p>
      <w:pPr>
        <w:pStyle w:val="Heading3"/>
      </w:pPr>
      <w:r>
        <w:t xml:space="preserve">2.1.5 model.dto</w:t>
      </w:r>
    </w:p>
    <w:p>
      <w:pPr>
        <w:spacing w:after="120" w:line="276"/>
        <w:jc w:val="both"/>
      </w:pPr>
      <w:r>
        <w:t xml:space="preserve">Raccoglie i Data Transfer Object (record Java) che disaccoppiano il contratto delle API dalle entità di dominio e costituiscono la base dello schema OpenAPI consumato dal client. Si distinguono DTO di richiesta (input) e di risposta (output).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DTO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Direzione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LoginRequest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Richiesta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Credenziali di accesso (email, password).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RegisterRequest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Richiesta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di registrazione di un nuovo Membro.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ProfileUpdateRequest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Richiesta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Aggiornamento dei dati di profilo.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ResourceUpsertRequest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Richiesta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Creazione/aggiornamento di un materiale (metadati e ArtID).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AuthResponse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JWT e dati essenziali del Membro autenticato.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UserResponse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identificativi del Membro.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ProfileResponse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Dati completi del profilo.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ProfileCompletionResponse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Percentuale di completamento del profilo.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Materiale con i metadati del file associato.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ArtidResponse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Contenitore ArtID con i materiali e gli attributi.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CountResponse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Conteggio generico (materiali, ArtID, condivisioni, certificati).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DashboardSummaryResponse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Riepilogo aggregato per la dashboard.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AvatarResponse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Risposta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Riferimento (URL firmato) all'immagine di profilo.</w:t>
            </w:r>
          </w:p>
        </w:tc>
      </w:tr>
    </w:tbl>
    <w:p>
      <w:pPr>
        <w:pStyle w:val="Heading3"/>
      </w:pPr>
      <w:r>
        <w:t xml:space="preserve">2.1.6 security</w:t>
      </w:r>
    </w:p>
    <w:p>
      <w:pPr>
        <w:spacing w:after="120" w:line="276"/>
        <w:jc w:val="both"/>
      </w:pPr>
      <w:r>
        <w:t xml:space="preserve">Sotto-package trasversale che realizza l'autenticazione stateless e l'autorizzazione. L'autenticazione è basata su token JWT firmati (HS256); le password sono memorizzate come hash BCrypt; ogni richiesta protetta è validata da un filtro dedicato che popola il contesto di sicurezza.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SecurityConfig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Catena di filtri, sessione stateless, configurazione CORS, encoder BCrypt e regole di autorizzazione degli endpoint.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JwtAuthenticationFilter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Estrae e valida il JWT a ogni richiesta, popolando il SecurityContext con il principal.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JwtUtil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Generazione e validazione dei token JWT (HS256) ed estrazione delle claim.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CustomUserDetailsService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Caricamento del Membro per email durante l'autenticazione.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AuthenticatedUser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Principal autenticato che incapsula lo User; esposto via @AuthenticationPrincipal.</w:t>
            </w:r>
          </w:p>
        </w:tc>
      </w:tr>
    </w:tbl>
    <w:p>
      <w:pPr>
        <w:pStyle w:val="Heading3"/>
      </w:pPr>
      <w:r>
        <w:t xml:space="preserve">2.1.7 storage</w:t>
      </w:r>
    </w:p>
    <w:p>
      <w:pPr>
        <w:spacing w:after="120" w:line="276"/>
        <w:jc w:val="both"/>
      </w:pPr>
      <w:r>
        <w:t xml:space="preserve">Sotto-package trasversale che incapsula l'accesso all'object storage S3-compatibile, isolando il resto dell'applicazione dai dettagli del provider.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StorageService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Facciata sull'object storage: upload, download e delete, generazione di object key opache e di URL firmati (presigned), pulizia coordinata con le transazioni.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S3Config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Configurazione del client S3 e del presigner (endpoint, credenziali, regione) verso Supabase Storage.</w:t>
            </w:r>
          </w:p>
        </w:tc>
      </w:tr>
    </w:tbl>
    <w:p>
      <w:pPr>
        <w:pStyle w:val="Heading2"/>
      </w:pPr>
      <w:r>
        <w:t xml:space="preserve">2.2 Librerie e package di piattaforma back-end</w:t>
      </w:r>
    </w:p>
    <w:p>
      <w:pPr>
        <w:spacing w:after="120" w:line="276"/>
        <w:jc w:val="both"/>
      </w:pPr>
      <w:r>
        <w:t xml:space="preserve">Oltre ai package applicativi, il server utilizza i package standard di Java e di terze parti. Le versioni sono riportate al §1.3.1.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java.*: </w:t>
      </w:r>
      <w:r>
        <w:rPr>
          <w:rFonts w:ascii="Consolas" w:cs="Consolas" w:eastAsia="Consolas" w:hAnsi="Consolas"/>
          <w:sz w:val="20"/>
          <w:szCs w:val="20"/>
        </w:rPr>
        <w:t xml:space="preserve">java.time</w:t>
      </w:r>
      <w:r>
        <w:t xml:space="preserve"> (date e orari), </w:t>
      </w:r>
      <w:r>
        <w:rPr>
          <w:rFonts w:ascii="Consolas" w:cs="Consolas" w:eastAsia="Consolas" w:hAnsi="Consolas"/>
          <w:sz w:val="20"/>
          <w:szCs w:val="20"/>
        </w:rPr>
        <w:t xml:space="preserve">java.util</w:t>
      </w:r>
      <w:r>
        <w:t xml:space="preserve"> (collezioni, Optional, UUID), </w:t>
      </w:r>
      <w:r>
        <w:rPr>
          <w:rFonts w:ascii="Consolas" w:cs="Consolas" w:eastAsia="Consolas" w:hAnsi="Consolas"/>
          <w:sz w:val="20"/>
          <w:szCs w:val="20"/>
        </w:rPr>
        <w:t xml:space="preserve">java.io</w:t>
      </w:r>
      <w:r>
        <w:t xml:space="preserve"> (stream per upload e download).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org.springframework.*: </w:t>
      </w:r>
      <w:r>
        <w:t xml:space="preserve">Spring MVC (controller REST), Spring Data JDBC (repository), Spring JDBC (JdbcTemplate e gestione transazionale), Spring Security (filtri e contesto di sicurezza).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org.postgresql: </w:t>
      </w:r>
      <w:r>
        <w:t xml:space="preserve">driver JDBC per la connessione a PostgreSQL.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io.jsonwebtoken (JJWT): </w:t>
      </w:r>
      <w:r>
        <w:t xml:space="preserve">firma e verifica dei token JWT.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org.springdoc: </w:t>
      </w:r>
      <w:r>
        <w:t xml:space="preserve">generazione ed esposizione della specifica OpenAPI.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software.amazon.awssdk.services.s3: </w:t>
      </w:r>
      <w:r>
        <w:t xml:space="preserve">client e presigner S3 per l'object storage.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Lombok: </w:t>
      </w:r>
      <w:r>
        <w:t xml:space="preserve">generazione a compile-time di getter, setter e costruttori.</w:t>
      </w:r>
    </w:p>
    <w:p>
      <w:pPr>
        <w:pStyle w:val="Heading2"/>
      </w:pPr>
      <w:r>
        <w:t xml:space="preserve">2.3 artid-client</w:t>
      </w:r>
    </w:p>
    <w:p>
      <w:pPr>
        <w:spacing w:after="120" w:line="276"/>
        <w:jc w:val="both"/>
      </w:pPr>
      <w:r>
        <w:t xml:space="preserve">Package dell'applicazione client: una applicazione SvelteKit con routing basato su file e rendering ibrido SSR/CSR. La radice contiene i punti di ingresso trasversali (</w:t>
      </w:r>
      <w:r>
        <w:rPr>
          <w:rFonts w:ascii="Consolas" w:cs="Consolas" w:eastAsia="Consolas" w:hAnsi="Consolas"/>
          <w:sz w:val="20"/>
          <w:szCs w:val="20"/>
        </w:rPr>
        <w:t xml:space="preserve">hooks.server.ts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app.d.ts</w:t>
      </w:r>
      <w:r>
        <w:t xml:space="preserve">), mentre la logica e i componenti riusabili risiedono sotto </w:t>
      </w:r>
      <w:r>
        <w:rPr>
          <w:rFonts w:ascii="Consolas" w:cs="Consolas" w:eastAsia="Consolas" w:hAnsi="Consolas"/>
          <w:sz w:val="20"/>
          <w:szCs w:val="20"/>
        </w:rPr>
        <w:t xml:space="preserve">$lib</w:t>
      </w:r>
      <w:r>
        <w:t xml:space="preserve">.</w:t>
      </w:r>
    </w:p>
    <w:p>
      <w:pPr>
        <w:pStyle w:val="Heading3"/>
      </w:pPr>
      <w:r>
        <w:t xml:space="preserve">2.3.1 routes</w:t>
      </w:r>
    </w:p>
    <w:p>
      <w:pPr>
        <w:spacing w:after="120" w:line="276"/>
        <w:jc w:val="both"/>
      </w:pPr>
      <w:r>
        <w:t xml:space="preserve">Definisce pagine ed endpoint tramite il routing file-based. Le pagine sono raggruppate per area: </w:t>
      </w:r>
      <w:r>
        <w:rPr>
          <w:rFonts w:ascii="Consolas" w:cs="Consolas" w:eastAsia="Consolas" w:hAnsi="Consolas"/>
          <w:sz w:val="20"/>
          <w:szCs w:val="20"/>
        </w:rPr>
        <w:t xml:space="preserve">(auth)</w:t>
      </w:r>
      <w:r>
        <w:t xml:space="preserve"> per l'accesso pubblico e </w:t>
      </w:r>
      <w:r>
        <w:rPr>
          <w:rFonts w:ascii="Consolas" w:cs="Consolas" w:eastAsia="Consolas" w:hAnsi="Consolas"/>
          <w:sz w:val="20"/>
          <w:szCs w:val="20"/>
        </w:rPr>
        <w:t xml:space="preserve">(app)</w:t>
      </w:r>
      <w:r>
        <w:t xml:space="preserve"> per l'area autenticata. Gli endpoint sotto </w:t>
      </w:r>
      <w:r>
        <w:rPr>
          <w:rFonts w:ascii="Consolas" w:cs="Consolas" w:eastAsia="Consolas" w:hAnsi="Consolas"/>
          <w:sz w:val="20"/>
          <w:szCs w:val="20"/>
        </w:rPr>
        <w:t xml:space="preserve">api/</w:t>
      </w:r>
      <w:r>
        <w:t xml:space="preserve"> fungono da proxy server-side verso Spring, iniettando il JWT prelevato dal cookie httpOnly; il file </w:t>
      </w:r>
      <w:r>
        <w:rPr>
          <w:rFonts w:ascii="Consolas" w:cs="Consolas" w:eastAsia="Consolas" w:hAnsi="Consolas"/>
          <w:sz w:val="20"/>
          <w:szCs w:val="20"/>
        </w:rPr>
        <w:t xml:space="preserve">hooks.server.ts</w:t>
      </w:r>
      <w:r>
        <w:t xml:space="preserve"> applica globalmente il gating di autenticazione e prepara il client API per-richiesta.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Percorso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(auth)/login, (auth)/register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 + azioni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Autenticazione e registrazione del Membro.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(app)/dashboard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 + load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Riepilogo e ingresso dell'area autenticata.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(app)/profile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 + load/azioni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Visualizzazione e modifica del profilo.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(app)/resources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 + load/azioni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dei materiali.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(app)/artid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dei contenitori ArtID.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(app)/certifications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degli attestati.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(app)/shares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Gestione delle condivisioni.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(app)/logout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server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Logout e invalidazione del cookie di sessione.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api/**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Proxy server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Inoltro autenticato verso Spring (inietta il JWT dal cookie httpOnly).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welcome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Pagina pubblica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Landing per utenti non autenticati.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hooks.server.ts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Handle globale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Gating di autenticazione, redirect e client API per-richiesta.</w:t>
            </w:r>
          </w:p>
        </w:tc>
      </w:tr>
    </w:tbl>
    <w:p>
      <w:pPr>
        <w:pStyle w:val="Heading3"/>
      </w:pPr>
      <w:r>
        <w:t xml:space="preserve">2.3.2 lib/components</w:t>
      </w:r>
    </w:p>
    <w:p>
      <w:pPr>
        <w:spacing w:after="120" w:line="276"/>
        <w:jc w:val="both"/>
      </w:pPr>
      <w:r>
        <w:t xml:space="preserve">Componenti UI riusabili (oggetti boundary), organizzati per ambito. Sono costruiti su Bootstrap/Sveltestrap per garantire coerenza visiva e responsività.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Componenti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layout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artid-navbar, artid-sidebar, artid-sub-navbar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Struttura di navigazione dell'applicazione.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pages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artid-dashboard-card, profile-form, resource-editor, resources-list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Componenti specifici delle singole pagine.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ui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artid-button, artid-input, artid-modal, artid-editor-modal, artid-link, artid-progress, artid-spid-button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Primitive UI riusabili trasversali.</w:t>
            </w:r>
          </w:p>
        </w:tc>
      </w:tr>
    </w:tbl>
    <w:p>
      <w:pPr>
        <w:pStyle w:val="Heading3"/>
      </w:pPr>
      <w:r>
        <w:t xml:space="preserve">2.3.3 lib/api</w:t>
      </w:r>
    </w:p>
    <w:p>
      <w:pPr>
        <w:spacing w:after="120" w:line="276"/>
        <w:jc w:val="both"/>
      </w:pPr>
      <w:r>
        <w:t xml:space="preserve">Client HTTP tipizzato verso il back-end. I tipi sono generati dallo schema OpenAPI, ottenendo coerenza end-to-end fra client e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Modulo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client.ts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server-side (openapi-fetch) costruito per-richiesta con il token Bearer e agganciato a locals.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browser-client.ts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lato browser same-origin che instrada le chiamate attraverso i proxy +server.ts.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schema.d.ts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Tipi TypeScript generati dallo schema OpenAPI del back-end (openapi-typescript).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types.ts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Alias e tipi di supporto derivati dallo schema.</w:t>
            </w:r>
          </w:p>
        </w:tc>
      </w:tr>
    </w:tbl>
    <w:p>
      <w:pPr>
        <w:pStyle w:val="Heading3"/>
      </w:pPr>
      <w:r>
        <w:t xml:space="preserve">2.3.4 lib/models/schemas</w:t>
      </w:r>
    </w:p>
    <w:p>
      <w:pPr>
        <w:spacing w:after="120" w:line="276"/>
        <w:jc w:val="both"/>
      </w:pPr>
      <w:r>
        <w:t xml:space="preserve">Schemi di validazione </w:t>
      </w:r>
      <w:r>
        <w:rPr>
          <w:b/>
          <w:bCs/>
        </w:rPr>
        <w:t xml:space="preserve">Zod</w:t>
      </w:r>
      <w:r>
        <w:t xml:space="preserve"> e tipi derivati: rappresentano gli oggetti entity lato client e costituiscono l'unica fonte di verità per la validazione degli input. Comprendono gli schemi delle entità (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artid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resource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tag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visibility-state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certifications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internal-share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external-share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artid-resource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notification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audit-log</w:t>
      </w:r>
      <w:r>
        <w:t xml:space="preserve">) e dei DTO di richiesta (</w:t>
      </w:r>
      <w:r>
        <w:rPr>
          <w:rFonts w:ascii="Consolas" w:cs="Consolas" w:eastAsia="Consolas" w:hAnsi="Consolas"/>
          <w:sz w:val="20"/>
          <w:szCs w:val="20"/>
        </w:rPr>
        <w:t xml:space="preserve">register-request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profile-update-request</w:t>
      </w:r>
      <w:r>
        <w:t xml:space="preserve">). Il modello </w:t>
      </w:r>
      <w:r>
        <w:rPr>
          <w:rFonts w:ascii="Consolas" w:cs="Consolas" w:eastAsia="Consolas" w:hAnsi="Consolas"/>
          <w:sz w:val="20"/>
          <w:szCs w:val="20"/>
        </w:rPr>
        <w:t xml:space="preserve">sidebar-buttons</w:t>
      </w:r>
      <w:r>
        <w:t xml:space="preserve"> descrive le voci di navigazione laterale.</w:t>
      </w:r>
    </w:p>
    <w:p>
      <w:pPr>
        <w:pStyle w:val="Heading3"/>
      </w:pPr>
      <w:r>
        <w:t xml:space="preserve">2.3.5 lib/stores</w:t>
      </w:r>
    </w:p>
    <w:p>
      <w:pPr>
        <w:spacing w:after="120" w:line="276"/>
        <w:jc w:val="both"/>
      </w:pPr>
      <w:r>
        <w:t xml:space="preserve">Stato globale dell'applicazione, gestito con gli store di Svelte.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Responsabilità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Utente correntemente autenticato (AuthUser | null).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breadcrumb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Percorso di navigazione corrente per l'intestazione.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loading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Contatore delle richieste attive per l'indicatore di caricamento globale.</w:t>
            </w:r>
          </w:p>
        </w:tc>
      </w:tr>
    </w:tbl>
    <w:p>
      <w:pPr>
        <w:pStyle w:val="Heading3"/>
      </w:pPr>
      <w:r>
        <w:t xml:space="preserve">2.3.6 lib/server e utilities</w:t>
      </w:r>
    </w:p>
    <w:p>
      <w:pPr>
        <w:spacing w:after="120" w:line="276"/>
        <w:jc w:val="both"/>
      </w:pPr>
      <w:r>
        <w:t xml:space="preserve">Il sotto-package </w:t>
      </w:r>
      <w:r>
        <w:rPr>
          <w:rFonts w:ascii="Consolas" w:cs="Consolas" w:eastAsia="Consolas" w:hAnsi="Consolas"/>
          <w:sz w:val="20"/>
          <w:szCs w:val="20"/>
        </w:rPr>
        <w:t xml:space="preserve">lib/server</w:t>
      </w:r>
      <w:r>
        <w:t xml:space="preserve"> contiene la logica eseguita esclusivamente sul server e mai inviata al browser: </w:t>
      </w:r>
      <w:r>
        <w:rPr>
          <w:rFonts w:ascii="Consolas" w:cs="Consolas" w:eastAsia="Consolas" w:hAnsi="Consolas"/>
          <w:sz w:val="20"/>
          <w:szCs w:val="20"/>
        </w:rPr>
        <w:t xml:space="preserve">auth.ts</w:t>
      </w:r>
      <w:r>
        <w:t xml:space="preserve"> gestisce la lettura del token dal cookie, il recupero dell'utente corrente e il logout. Il modulo </w:t>
      </w:r>
      <w:r>
        <w:rPr>
          <w:rFonts w:ascii="Consolas" w:cs="Consolas" w:eastAsia="Consolas" w:hAnsi="Consolas"/>
          <w:sz w:val="20"/>
          <w:szCs w:val="20"/>
        </w:rPr>
        <w:t xml:space="preserve">lib/utilities.ts</w:t>
      </w:r>
      <w:r>
        <w:t xml:space="preserve"> raccoglie le funzioni condivise di formattazione (date in italiano, dimensioni dei file), la classificazione del tipo di risorsa dal MIME e la mappatura dei badge per estensione; </w:t>
      </w:r>
      <w:r>
        <w:rPr>
          <w:rFonts w:ascii="Consolas" w:cs="Consolas" w:eastAsia="Consolas" w:hAnsi="Consolas"/>
          <w:sz w:val="20"/>
          <w:szCs w:val="20"/>
        </w:rPr>
        <w:t xml:space="preserve">lib/index.ts</w:t>
      </w:r>
      <w:r>
        <w:t xml:space="preserve"> funge da barrel di riesportazione.</w:t>
      </w:r>
    </w:p>
    <w:p>
      <w:pPr>
        <w:pStyle w:val="Heading2"/>
      </w:pPr>
      <w:r>
        <w:t xml:space="preserve">2.4 Librerie e package di piattaforma front-end</w:t>
      </w:r>
    </w:p>
    <w:p>
      <w:pPr>
        <w:spacing w:after="120" w:line="276"/>
        <w:jc w:val="both"/>
      </w:pPr>
      <w:r>
        <w:t xml:space="preserve">Il client si appoggia ai seguenti package di piattaforma e di terze parti. Le versioni sono riportate al §1.2.1.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@sveltejs/kit, svelte: </w:t>
      </w:r>
      <w:r>
        <w:t xml:space="preserve">runtime del framework full-stack e dei componenti reattivi (Runes).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vite, @sveltejs/adapter-vercel: </w:t>
      </w:r>
      <w:r>
        <w:t xml:space="preserve">build, dev server e deployment su Vercel.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bootstrap, @sveltestrap/sveltestrap, bootstrap-icons, sass: </w:t>
      </w:r>
      <w:r>
        <w:t xml:space="preserve">presentazione, componenti e stili.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zod: </w:t>
      </w:r>
      <w:r>
        <w:t xml:space="preserve">schemi di validazione e derivazione dei tipi.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openapi-fetch, openapi-typescript: </w:t>
      </w:r>
      <w:r>
        <w:t xml:space="preserve">client HTTP tipizzato e generazione dei tipi dallo schema OpenAPI.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quill, svelte-sonner: </w:t>
      </w:r>
      <w:r>
        <w:t xml:space="preserve">editor di testo ricco e notifiche toast.</w:t>
      </w:r>
    </w:p>
    <w:p>
      <w:pPr>
        <w:pStyle w:val="Heading1"/>
      </w:pPr>
      <w:r>
        <w:t xml:space="preserve">3. Copyright e diritto d'autore</w:t>
      </w:r>
    </w:p>
    <w:p>
      <w:pPr>
        <w:spacing w:after="120" w:line="276"/>
        <w:jc w:val="both"/>
      </w:pPr>
      <w:r>
        <w:t xml:space="preserve">La presente documentazione è protetta dalle leggi sul diritto d'autore. Nessuna parte di questo documento può essere riprodotta, distribuita o trasmessa in alcuna forma o con alcun mezzo, elettronico o meccanico, inclusa la fotocopia, la registrazione o altri sistemi di memorizzazione e recupero di informazioni, senza il previo consenso scritto degli autori.</w:t>
      </w:r>
    </w:p>
    <w:p>
      <w:pPr>
        <w:spacing w:before="200"/>
      </w:pPr>
      <w:r>
        <w:rPr>
          <w:b/>
          <w:bCs/>
        </w:rPr>
        <w:t xml:space="preserve">ArtID ©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color w:val="6B7280"/>
        <w:sz w:val="18"/>
        <w:szCs w:val="18"/>
      </w:rPr>
      <w:t xml:space="preserve">Pagina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B7280"/>
        <w:sz w:val="18"/>
        <w:szCs w:val="18"/>
      </w:rPr>
      <w:t xml:space="preserve">Object Design Document — ArtID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Calibri" w:cs="Calibri" w:eastAsia="Calibri" w:hAnsi="Calibri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Design Document - ArtID</dc:title>
  <dc:creator>Team ArtID</dc:creator>
  <dc:description>ODD del progetto ArtID</dc:description>
  <cp:lastModifiedBy>Un-named</cp:lastModifiedBy>
  <cp:revision>1</cp:revision>
  <dcterms:created xsi:type="dcterms:W3CDTF">2026-06-12T21:50:11.247Z</dcterms:created>
  <dcterms:modified xsi:type="dcterms:W3CDTF">2026-06-12T21:50:11.248Z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