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b/>
          <w:bCs/>
          <w:sz w:val="30"/>
          <w:szCs w:val="30"/>
        </w:rPr>
        <w:t xml:space="preserve">UNIVERSITÀ DEGLI STUDI DI PALERMO</w:t>
      </w:r>
    </w:p>
    <w:p>
      <w:pPr>
        <w:spacing w:after="0"/>
        <w:jc w:val="center"/>
      </w:pPr>
      <w:r>
        <w:rPr>
          <w:sz w:val="26"/>
          <w:szCs w:val="26"/>
        </w:rPr>
        <w:t xml:space="preserve">DIPARTIMENTO DI INGEGNERIA</w:t>
      </w:r>
    </w:p>
    <w:p>
      <w:pPr>
        <w:spacing w:after="600"/>
        <w:jc w:val="center"/>
      </w:pPr>
      <w:r>
        <w:rPr>
          <w:sz w:val="24"/>
          <w:szCs w:val="24"/>
        </w:rPr>
        <w:t xml:space="preserve">CORSO DI LAUREA IN INGEGNERIA INFORMATICA</w:t>
      </w:r>
    </w:p>
    <w:p>
      <w:pPr>
        <w:pBdr>
          <w:top w:val="single" w:color="1F3864" w:sz="6" w:space="12"/>
        </w:pBdr>
        <w:spacing w:after="0" w:before="800"/>
        <w:jc w:val="center"/>
      </w:pPr>
      <w:r>
        <w:rPr>
          <w:b/>
          <w:bCs/>
          <w:color w:val="1F3864"/>
          <w:sz w:val="56"/>
          <w:szCs w:val="56"/>
        </w:rPr>
        <w:t xml:space="preserve">System Design Document</w:t>
      </w:r>
    </w:p>
    <w:p>
      <w:pPr>
        <w:spacing w:after="0"/>
        <w:jc w:val="center"/>
      </w:pPr>
      <w:r>
        <w:rPr>
          <w:i/>
          <w:iCs/>
          <w:sz w:val="28"/>
          <w:szCs w:val="28"/>
        </w:rPr>
        <w:t xml:space="preserve">Specifiche di Progettazione del Sistema</w:t>
      </w:r>
    </w:p>
    <w:p>
      <w:pPr>
        <w:pBdr>
          <w:bottom w:val="single" w:color="1F3864" w:sz="6" w:space="12"/>
        </w:pBdr>
        <w:spacing w:after="800" w:before="240"/>
        <w:jc w:val="center"/>
      </w:pPr>
      <w:r>
        <w:rPr>
          <w:b/>
          <w:bCs/>
          <w:sz w:val="64"/>
          <w:szCs w:val="64"/>
        </w:rPr>
        <w:t xml:space="preserve">ArtID</w:t>
      </w:r>
    </w:p>
    <w:p>
      <w:pPr>
        <w:spacing w:after="60" w:before="600"/>
        <w:jc w:val="center"/>
      </w:pPr>
      <w:r>
        <w:rPr>
          <w:b/>
          <w:bCs/>
          <w:sz w:val="24"/>
          <w:szCs w:val="24"/>
        </w:rPr>
        <w:t xml:space="preserve">Team di Sviluppo</w:t>
      </w:r>
    </w:p>
    <w:p>
      <w:pPr>
        <w:spacing w:after="0"/>
        <w:jc w:val="center"/>
      </w:pPr>
      <w:r>
        <w:rPr>
          <w:sz w:val="24"/>
          <w:szCs w:val="24"/>
        </w:rPr>
        <w:t xml:space="preserve">Andrea Sciortino</w:t>
      </w:r>
    </w:p>
    <w:p>
      <w:pPr>
        <w:spacing w:after="0"/>
        <w:jc w:val="center"/>
      </w:pPr>
      <w:r>
        <w:rPr>
          <w:sz w:val="24"/>
          <w:szCs w:val="24"/>
        </w:rPr>
        <w:t xml:space="preserve">Davide Alaimo</w:t>
      </w:r>
    </w:p>
    <w:p>
      <w:pPr>
        <w:spacing w:after="0"/>
        <w:jc w:val="center"/>
      </w:pPr>
      <w:r>
        <w:rPr>
          <w:sz w:val="24"/>
          <w:szCs w:val="24"/>
        </w:rPr>
        <w:t xml:space="preserve">Gabriele Iovino</w:t>
      </w:r>
    </w:p>
    <w:p>
      <w:pPr>
        <w:spacing w:after="320"/>
        <w:jc w:val="center"/>
      </w:pPr>
      <w:r>
        <w:rPr>
          <w:sz w:val="24"/>
          <w:szCs w:val="24"/>
        </w:rPr>
        <w:t xml:space="preserve">Giovanni Luca Cusano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Supervisore</w:t>
      </w:r>
    </w:p>
    <w:p>
      <w:pPr>
        <w:spacing w:after="320"/>
        <w:jc w:val="center"/>
      </w:pPr>
      <w:r>
        <w:rPr>
          <w:sz w:val="24"/>
          <w:szCs w:val="24"/>
        </w:rPr>
        <w:t xml:space="preserve">Prof.ssa Valeria Seidita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Anno Accademico</w:t>
      </w:r>
    </w:p>
    <w:p>
      <w:pPr>
        <w:jc w:val="center"/>
      </w:pPr>
      <w:r>
        <w:rPr>
          <w:sz w:val="24"/>
          <w:szCs w:val="24"/>
        </w:rPr>
        <w:t xml:space="preserve">2025 –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Introduzione</w:t>
      </w:r>
    </w:p>
    <w:p>
      <w:pPr>
        <w:spacing w:after="120" w:line="276"/>
        <w:jc w:val="both"/>
      </w:pPr>
      <w:r>
        <w:rPr>
          <w:b/>
          <w:bCs/>
        </w:rPr>
        <w:t xml:space="preserve">Premessa. </w:t>
      </w:r>
      <w:r>
        <w:t xml:space="preserve">Il presente System Design Document (SDD) definisce l'architettura e le scelte di progettazione del sistema software ArtID, traducendo in soluzioni tecniche i requisiti funzionali e non funzionali raccolti nel Requirements Analysis Document (RAD). Laddove una funzionalità descritta dal RAD risulti già realizzata nel prototipo corrente essa viene presentata come implementata; le funzionalità previste ma non ancora sviluppate sono esplicitamente indicate come « predisposte », in coerenza con l'obiettivo di progettazione del disaccoppiamento architetturale.</w:t>
      </w:r>
    </w:p>
    <w:p>
      <w:pPr>
        <w:pStyle w:val="Heading2"/>
      </w:pPr>
      <w:r>
        <w:t xml:space="preserve">1.1 Obiettivo del sistema</w:t>
      </w:r>
    </w:p>
    <w:p>
      <w:pPr>
        <w:spacing w:after="120" w:line="276"/>
        <w:jc w:val="both"/>
      </w:pPr>
      <w:r>
        <w:t xml:space="preserve">ArtID è una piattaforma web centralizzata dedicata agli studenti delle istituzioni del comparto AFAM (Alta Formazione Artistica, Musicale e Coreutica). Il sistema costituisce l'ambiente digitale di riferimento per la creazione, la personalizzazione e l'integrazione dell'identità digitale e del percorso formativo-artistico dei discenti, superando la frammentazione delle informazioni anagrafiche, didattiche e della produzione artistica multimediale.</w:t>
      </w:r>
    </w:p>
    <w:p>
      <w:pPr>
        <w:spacing w:after="120" w:line="276"/>
        <w:jc w:val="both"/>
      </w:pPr>
      <w:r>
        <w:t xml:space="preserve">Il sistema si rivolge primariamente al Membro AFAM, in qualità di amministratore unico del proprio portfolio, e secondariamente a una platea di attori esterni (commissioni d'esame, enti del terzo settore, direttori artistici e istituzioni partner) abilitati alla consultazione selettiva del materiale condiviso. L'elemento di innovazione è il contenitore dinamico ArtID, che associa l'identità dello studente a un repository flessibile di asset multimediali condivisibili tramite collegamenti esterni tracciati.</w:t>
      </w:r>
    </w:p>
    <w:p>
      <w:pPr>
        <w:pStyle w:val="Heading2"/>
      </w:pPr>
      <w:r>
        <w:t xml:space="preserve">1.2 Obiettivi di progettazione</w:t>
      </w:r>
    </w:p>
    <w:p>
      <w:pPr>
        <w:spacing w:after="120" w:line="276"/>
        <w:jc w:val="both"/>
      </w:pPr>
      <w:r>
        <w:t xml:space="preserve">Gli obiettivi di progettazione (design goals) derivano dai requisiti non funzionali del RAD e guidano le decisioni in presenza di compromessi tecnici. Il sistema dà priorità alla sicurezza dei dati e all'usabilità rispetto alla pura ottimizzazione prestazionale.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Sicurezza e riservatezza (GDPR): </w:t>
      </w:r>
      <w:r>
        <w:t xml:space="preserve">piena aderenza al regolamento europeo; cifratura degli asset a riposo, trasmissione su canale HTTPS/TLS, hashing delle password con BCrypt e autenticazione stateless basata su token JWT.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Disaccoppiamento ed estensibilità: </w:t>
      </w:r>
      <w:r>
        <w:t xml:space="preserve">architettura progettata con pattern di disaccoppiamento in grado di accogliere i moduli di identità federata (SPID/eIDAS) senza alterare la logica di business; lo strato di persistenza dei file è incapsulato per consentire una futura migrazione a un object storage dedicato.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Affidabilità e integrità dei dati: </w:t>
      </w:r>
      <w:r>
        <w:t xml:space="preserve">persistenza su DBMS relazionale con gestione transazionale conforme alle proprietà ACID, cancellazione logica (soft-delete) e politiche di backup periodiche.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Prestazioni: </w:t>
      </w:r>
      <w:r>
        <w:t xml:space="preserve">dimensione massima di 10 MB per singolo file, tempi di risposta nell'ordine di pochi secondi e minimizzazione delle comunicazioni con il DBMS (conteggi aggregati e caching dell'utente corrente lato server).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Usabilità: </w:t>
      </w:r>
      <w:r>
        <w:t xml:space="preserve">interfaccia lineare e priva di ambiguità per un'utenza potenzialmente priva di competenze tecniche avanzate, minimizzando i passaggi per le operazioni core (caricamento materiali e condivisione).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Accessibilità multi-dispositivo: </w:t>
      </w:r>
      <w:r>
        <w:t xml:space="preserve">interfaccia responsive fruibile da qualsiasi dispositivo desktop e mobile.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Robustezza: </w:t>
      </w:r>
      <w:r>
        <w:t xml:space="preserve">validazione e sanificazione degli input lato client e lato server e impiego di query parametrizzate a protezione da vulnerabilità note (es. SQL injection), con gestione strutturata degli errori.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Manutenibilità e modularità: </w:t>
      </w:r>
      <w:r>
        <w:t xml:space="preserve">separazione in layer e sottosistemi debolmente accoppiati, con API documentate tramite specifica OpenAPI.</w:t>
      </w:r>
    </w:p>
    <w:p>
      <w:pPr>
        <w:pStyle w:val="Heading2"/>
      </w:pPr>
      <w:r>
        <w:t xml:space="preserve">1.3 Definizioni, acronimi e abbreviazioni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Termine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Membro AFAM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Individuo autenticato che utilizza il software; proprietario e amministratore unico del proprio portfolio.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Materiale (Risorsa)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Qualsiasi file della produzione artistica dello studente (audio, video, spartiti, documenti, curriculum).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ArtID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Contenitore dinamico che raggruppa i materiali del Membro e che può essere condiviso con altri Membri o con utenti esterni.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Tag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Etichetta tassonomica di competenza/tematica associabile agli ArtID per categorizzazione e ricerca.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Certificato (Attestato)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formale che comprova un titolo o riconoscimento, con metadati e livello di visibilità.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Condivisione interna / esterna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Condivisione di un ArtID verso un altro Membro (interna) oppure verso utenti non autenticati tramite link (esterna).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Discovery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Funzionalità di ricerca dei profili pubblici per dati nominativi o competenze (predisposta).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Stato di visibilità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Livello di esposizione di un ArtID o di una risorsa: Pubblico, Privato, Unlisted.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Sigla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Significato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AFAM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 Formazione Artistica, Musicale e Coreutica.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JWT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 Web Token, token firmato usato per l'autenticazione stateless.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BCrypt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Algoritmo di hashing delle password con salt.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OTP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One-Time Password, codice di verifica monouso (predisposto).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SPID / eIDAS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Pubblico di Identità Digitale / quadro europeo di identità federata (predisposti).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REST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Representational State Transfer, stile architetturale delle API.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OpenAPI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Specifica standard per la descrizione delle API REST.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DTO / DAO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Transfer Object / Data Access Object.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BLOB / bytea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Binary Large Object / tipo PostgreSQL per dati binari.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DBMS / ACID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 Management System / Atomicity, Consistency, Isolation, Durability.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SSR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Server-Side Rendering.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CORS / TLS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Cross-Origin Resource Sharing / Transport Layer Security.</w:t>
            </w:r>
          </w:p>
        </w:tc>
      </w:tr>
    </w:tbl>
    <w:p>
      <w:pPr>
        <w:pStyle w:val="Heading2"/>
      </w:pPr>
      <w:r>
        <w:t xml:space="preserve">1.4 Riferimenti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Requirements Analysis Document (RAD) – ArtID, documento di analisi dei requisiti da cui il presente SDD deriva.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Materiale didattico del corso di Ingegneria del Software – System Design.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B. Bruegge, A. H. Dutoit, Object-Oriented Software Engineering: Using UML, Patterns, and Java – struttura di riferimento dell'SDD e degli stili architetturali.</w:t>
      </w:r>
    </w:p>
    <w:p>
      <w:pPr>
        <w:pStyle w:val="Heading2"/>
      </w:pPr>
      <w:r>
        <w:t xml:space="preserve">1.5 Panoramica del documento</w:t>
      </w:r>
    </w:p>
    <w:p>
      <w:pPr>
        <w:spacing w:after="120" w:line="276"/>
        <w:jc w:val="both"/>
      </w:pPr>
      <w:r>
        <w:t xml:space="preserve">Il Capitolo 2 descrive l'architettura del software attualmente in uso. Il Capitolo 3 illustra l'architettura software proposta: panoramica e stile architetturale, requisiti minimi, scomposizione in sottosistemi, mappatura degli oggetti, mappatura hardware/software, gestione dei dati persistenti, controllo degli accessi e sicurezza, controllo globale del software e condizioni al contorno. Il Capitolo 4 dettaglia i servizi offerti dai singoli sottosistemi. Seguono il glossario e la nota di copyright.</w:t>
      </w:r>
    </w:p>
    <w:p>
      <w:pPr>
        <w:pStyle w:val="Heading1"/>
      </w:pPr>
      <w:r>
        <w:t xml:space="preserve">2. Architettura del software attuale</w:t>
      </w:r>
    </w:p>
    <w:p>
      <w:pPr>
        <w:spacing w:after="120" w:line="276"/>
        <w:jc w:val="both"/>
      </w:pPr>
      <w:r>
        <w:t xml:space="preserve">Allo stato attuale non esiste una piattaforma integrata e istituzionale dedicata alla valorizzazione del percorso dei candidati AFAM. Lo scenario è fortemente decentralizzato e destrutturato: gli studenti gestiscono manualmente la propria presentazione professionale combinando canali eterogenei — posta elettronica per le comunicazioni, servizi di cloud storage commerciali per i file multimediali ad alta risoluzione e documenti di testo compilati estemporaneamente per i curricula.</w:t>
      </w:r>
    </w:p>
    <w:p>
      <w:pPr>
        <w:spacing w:after="120" w:line="276"/>
        <w:jc w:val="both"/>
      </w:pPr>
      <w:r>
        <w:t xml:space="preserve">Questo approccio comporta un elevato overhead di gestione: l'allineamento e l'aggiornamento dei file restano a totale carico dello studente, con rischio di trasmettere documentazione obsoleta o incoerente. Sul piano del controllo e della sicurezza si registra una totale asimmetria informativa: una volta inviato il materiale, l'utente perde ogni tracciamento sul ciclo di vita del file, non può verificare se i valutatori l'abbiano consultato né revocare l'accesso, e la tutela della proprietà intellettuale risulta compromessa dall'assenza di un ambiente di fruizione controllato dall'istituzione.</w:t>
      </w:r>
    </w:p>
    <w:p>
      <w:pPr>
        <w:pStyle w:val="Heading1"/>
      </w:pPr>
      <w:r>
        <w:t xml:space="preserve">3. Architettura software proposta</w:t>
      </w:r>
    </w:p>
    <w:p>
      <w:pPr>
        <w:pStyle w:val="Heading2"/>
      </w:pPr>
      <w:r>
        <w:t xml:space="preserve">3.1 Panoramica</w:t>
      </w:r>
    </w:p>
    <w:p>
      <w:pPr>
        <w:spacing w:after="120" w:line="276"/>
        <w:jc w:val="both"/>
      </w:pPr>
      <w:r>
        <w:t xml:space="preserve">Per ArtID è stata adottata un'architettura a tre livelli (three-tier) distribuita secondo il modello client-server, con accesso ai dati realizzato tramite il pattern Repository. La combinazione di questi stili garantisce separazione delle responsabilità, testabilità, manutenibilità e scalabilità.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Livello di interfaccia (Interface Layer): </w:t>
      </w:r>
      <w:r>
        <w:t xml:space="preserve">ospita gli oggetti boundary che interagiscono con l'utente — pagine, form e componenti dell'applicazione web realizzata in SvelteKit, con rendering lato server (SSR) e interfaccia responsive basata su Bootstrap.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Livello di logica applicativa (Application Logic Layer): </w:t>
      </w:r>
      <w:r>
        <w:t xml:space="preserve">contiene gli oggetti control ed entity; realizza le regole di business, la validazione, la sicurezza e l'esposizione delle API REST. È implementato come applicazione Spring Boot (Java).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Livello di memorizzazione (Storage Layer): </w:t>
      </w:r>
      <w:r>
        <w:t xml:space="preserve">realizza la persistenza, il reperimento e l'interrogazione degli oggetti persistenti su un DBMS relazionale (PostgreSQL). L'accesso è mediato dal pattern Repository, che astrae la sorgente dati nascondendone la complessità. I file binari (materiali e attestati) sono persistiti come BLOB all'interno del DBMS; lo strato di storage è incapsulato dietro i Data Access Object così da consentire una futura migrazione verso un object storage dedicato senza impatti sul core applicativo.</w:t>
      </w:r>
    </w:p>
    <w:p>
      <w:pPr>
        <w:spacing w:after="120" w:line="276"/>
        <w:jc w:val="both"/>
      </w:pPr>
      <w:r>
        <w:rPr>
          <w:b/>
          <w:bCs/>
        </w:rPr>
        <w:t xml:space="preserve">Razionale e compromessi. </w:t>
      </w:r>
      <w:r>
        <w:t xml:space="preserve">L'architettura three-tier separa l'interfaccia dalla logica e dai dati, abilitando l'evoluzione indipendente dei tre livelli (ad esempio nuove interfacce o nuovi moduli di autenticazione). Il pattern Repository centralizza e uniforma l'accesso ai dati; il suo principale svantaggio teorico — il repository centrale come potenziale collo di bottiglia — è mitigato dal pooling delle connessioni, dall'indicizzazione e dai conteggi aggregati. La distribuzione client-server consente di replicare e scalare il livello applicativo mantenendo un'unica sorgente dati coerente.</w:t>
      </w:r>
    </w:p>
    <w:p>
      <w:pPr>
        <w:pBdr>
          <w:top w:val="dashed" w:color="9CA3AF" w:sz="6" w:space="14"/>
          <w:bottom w:val="dashed" w:color="9CA3AF" w:sz="6" w:space="14"/>
          <w:left w:val="dashed" w:color="9CA3AF" w:sz="6" w:space="14"/>
          <w:right w:val="dashed" w:color="9CA3AF" w:sz="6" w:space="14"/>
        </w:pBdr>
        <w:shd w:fill="F8FAFC" w:val="clear"/>
        <w:spacing w:after="60" w:before="160"/>
        <w:jc w:val="center"/>
      </w:pPr>
      <w:r>
        <w:rPr>
          <w:i/>
          <w:iCs/>
          <w:color w:val="6B7280"/>
          <w:sz w:val="22"/>
          <w:szCs w:val="22"/>
        </w:rPr>
        <w:t xml:space="preserve">[ spazio riservato al diagramma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Figura 3.1 — </w:t>
      </w:r>
      <w:r>
        <w:rPr>
          <w:i/>
          <w:iCs/>
          <w:sz w:val="20"/>
          <w:szCs w:val="20"/>
        </w:rPr>
        <w:t xml:space="preserve">Diagramma dei componenti dell'architettura three-tier (Interface / Application Logic / Storage) con il pattern Repository.</w:t>
      </w:r>
    </w:p>
    <w:p>
      <w:pPr>
        <w:pStyle w:val="Heading2"/>
      </w:pPr>
      <w:r>
        <w:t xml:space="preserve">3.2 Requisiti minimi per l'utilizzo</w:t>
      </w:r>
    </w:p>
    <w:p>
      <w:pPr>
        <w:spacing w:after="120" w:line="276"/>
        <w:jc w:val="both"/>
      </w:pPr>
      <w:r>
        <w:t xml:space="preserve">Per il corretto funzionamento il sistema richiede: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Lato client: </w:t>
      </w:r>
      <w:r>
        <w:t xml:space="preserve">un browser web moderno (versioni recenti di Chrome, Firefox, Edge o Safari), una connessione Internet stabile e una casella di posta elettronica per ciascun utente (per le comunicazioni e il recupero delle credenziali).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Lato server: </w:t>
      </w:r>
      <w:r>
        <w:t xml:space="preserve">un ambiente di esecuzione Java (JVM 17 o superiore) per il livello applicativo e un'istanza di DBMS PostgreSQL per il livello di memorizzazione, con risorse di calcolo e di archiviazione adeguate alla mole dei materiali.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Rete: </w:t>
      </w:r>
      <w:r>
        <w:t xml:space="preserve">comunicazione cifrata su canale HTTPS/TLS tra i nodi e verso i client.</w:t>
      </w:r>
    </w:p>
    <w:p>
      <w:pPr>
        <w:pStyle w:val="Heading2"/>
      </w:pPr>
      <w:r>
        <w:t xml:space="preserve">3.3 Scomposizione in sottosistemi</w:t>
      </w:r>
    </w:p>
    <w:p>
      <w:pPr>
        <w:spacing w:after="120" w:line="276"/>
        <w:jc w:val="both"/>
      </w:pPr>
      <w:r>
        <w:t xml:space="preserve">Il sistema è scomposto in sottosistemi funzionali derivati dai macro-casi d'uso del RAD, affiancati da sottosistemi trasversali di supporto. Ogni sottosistema raggruppa oggetti funzionalmente correlati ed espone i propri servizi attraverso un'interfaccia ben definita.</w:t>
      </w:r>
    </w:p>
    <w:p>
      <w:pPr>
        <w:pStyle w:val="Heading3"/>
      </w:pPr>
      <w:r>
        <w:t xml:space="preserve">3.3.1 Sottosistemi funzionali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Gestione Autenticazione: </w:t>
      </w:r>
      <w:r>
        <w:t xml:space="preserve">login, registrazione e logout del Membro AFAM tramite credenziali, con rilascio di token JWT. Predisposti: autenticazione con identità digitale (SPID), verifica a due fattori tramite OTP, recupero e modifica password, eliminazione account.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Gestione Profilo: </w:t>
      </w:r>
      <w:r>
        <w:t xml:space="preserve">visualizzazione e aggiornamento dei dati anagrafici e professionali, immagine di profilo, impostazione del profilo come pubblico o privato e calcolo della percentuale di completamento. Predisposto: collegamento dell'identità SPID.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Gestione Materiali: </w:t>
      </w:r>
      <w:r>
        <w:t xml:space="preserve">caricamento e gestione (CRUD) dei materiali con persistenza del contenuto come BLOB, organizzazione in contenitori ArtID, associazione di tag e stati di visibilità (Pubblico/Privato/Unlisted), gestione dei preferiti e anteprima dell'ArtID.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Gestione Condivisione: </w:t>
      </w:r>
      <w:r>
        <w:t xml:space="preserve">condivisione interna verso altri Membri e condivisione esterna tramite link con scadenza e attivazione/disattivazione, con tracciamento degli accessi (contatore dei clic e data dell'ultimo accesso).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Gestione Certificazioni: </w:t>
      </w:r>
      <w:r>
        <w:t xml:space="preserve">caricamento, download e rimozione di attestati con metadati descrittivi e livello di visibilità.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Discovery: </w:t>
      </w:r>
      <w:r>
        <w:t xml:space="preserve">ricerca dei profili pubblici e dei contenuti per dati nominativi e per competenze/tag (predisposto).</w:t>
      </w:r>
    </w:p>
    <w:p>
      <w:pPr>
        <w:pStyle w:val="Heading3"/>
      </w:pPr>
      <w:r>
        <w:t xml:space="preserve">3.3.2 Sottosistemi trasversali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Gestione Persistenza (Repository): </w:t>
      </w:r>
      <w:r>
        <w:t xml:space="preserve">accesso uniforme ai dati, gestione delle transazioni e della cancellazione logica, persistenza dei BLOB.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Gestione Sicurezza: </w:t>
      </w:r>
      <w:r>
        <w:t xml:space="preserve">filtro di autenticazione JWT, autorizzazione per appartenenza (ownership), configurazione CORS e codifica delle password.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Gestione Notifiche e Audit: </w:t>
      </w:r>
      <w:r>
        <w:t xml:space="preserve">notifiche in dashboard verso il Membro e registrazione delle azioni rilevanti nel registro di audit.</w:t>
      </w:r>
    </w:p>
    <w:p>
      <w:pPr>
        <w:pBdr>
          <w:top w:val="dashed" w:color="9CA3AF" w:sz="6" w:space="14"/>
          <w:bottom w:val="dashed" w:color="9CA3AF" w:sz="6" w:space="14"/>
          <w:left w:val="dashed" w:color="9CA3AF" w:sz="6" w:space="14"/>
          <w:right w:val="dashed" w:color="9CA3AF" w:sz="6" w:space="14"/>
        </w:pBdr>
        <w:shd w:fill="F8FAFC" w:val="clear"/>
        <w:spacing w:after="60" w:before="160"/>
        <w:jc w:val="center"/>
      </w:pPr>
      <w:r>
        <w:rPr>
          <w:i/>
          <w:iCs/>
          <w:color w:val="6B7280"/>
          <w:sz w:val="22"/>
          <w:szCs w:val="22"/>
        </w:rPr>
        <w:t xml:space="preserve">[ spazio riservato al diagramma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Figura 3.2 — </w:t>
      </w:r>
      <w:r>
        <w:rPr>
          <w:i/>
          <w:iCs/>
          <w:sz w:val="20"/>
          <w:szCs w:val="20"/>
        </w:rPr>
        <w:t xml:space="preserve">Scomposizione in sottosistemi (diagramma dei componenti UML) con le dipendenze tra sottosistemi funzionali e trasversali.</w:t>
      </w:r>
    </w:p>
    <w:p>
      <w:pPr>
        <w:pStyle w:val="Heading2"/>
      </w:pPr>
      <w:r>
        <w:t xml:space="preserve">3.4 Mappatura degli oggetti nei sottosistemi</w:t>
      </w:r>
    </w:p>
    <w:p>
      <w:pPr>
        <w:spacing w:after="120" w:line="276"/>
        <w:jc w:val="both"/>
      </w:pPr>
      <w:r>
        <w:t xml:space="preserve">Gli oggetti individuati in analisi sono distribuiti sui tre livelli: gli oggetti boundary risiedono nel livello di interfaccia (pagine e componenti SvelteKit), gli oggetti control nel livello di logica applicativa (controller e service Spring Boot) e gli oggetti entity sono persistiti nel livello di memorizzazione. La tabella seguente sintetizza la mappatura per ciascun sottosistema.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76"/>
        <w:gridCol w:w="2350"/>
        <w:gridCol w:w="24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Sottosistema</w:t>
            </w:r>
          </w:p>
        </w:tc>
        <w:tc>
          <w:tcPr>
            <w:tcW w:type="dxa" w:w="23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Boundary (Interface)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 (Application)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Autenticazione</w:t>
            </w:r>
          </w:p>
        </w:tc>
        <w:tc>
          <w:tcPr>
            <w:tcW w:type="dxa" w:w="23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Welcome, Login, Registrazione, (Verifica OTP)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AuthController, SecurityConfig, JwtAuthenticationFilter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Membro (User)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Profilo</w:t>
            </w:r>
          </w:p>
        </w:tc>
        <w:tc>
          <w:tcPr>
            <w:tcW w:type="dxa" w:w="23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Gestione Profilo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ProfileController, UserController, ProfileService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Membro (User), File (foto)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Materiali</w:t>
            </w:r>
          </w:p>
        </w:tc>
        <w:tc>
          <w:tcPr>
            <w:tcW w:type="dxa" w:w="23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Materiali, Dettagli ArtID, Nuovo Materiale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ResourceController, ArtidController, ResourceService, ArtidService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Risorsa, ArtID, File, Tag, StatoVisibilità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Condivisione</w:t>
            </w:r>
          </w:p>
        </w:tc>
        <w:tc>
          <w:tcPr>
            <w:tcW w:type="dxa" w:w="23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Preview ArtID, (pagina link esterno)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ShareController, ShareService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InternalShare, ExternalShare, ArtID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Certificazioni</w:t>
            </w:r>
          </w:p>
        </w:tc>
        <w:tc>
          <w:tcPr>
            <w:tcW w:type="dxa" w:w="23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Gestione Certificati, Nuovo Certificato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CertificationController, CertificationService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Certificato, File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Discovery</w:t>
            </w:r>
          </w:p>
        </w:tc>
        <w:tc>
          <w:tcPr>
            <w:tcW w:type="dxa" w:w="23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(ricerca profili pubblici)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(predisposto)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Membro (User), Tag, ArtID</w:t>
            </w:r>
          </w:p>
        </w:tc>
      </w:tr>
    </w:tbl>
    <w:p>
      <w:pPr>
        <w:spacing w:after="80"/>
      </w:pPr>
    </w:p>
    <w:p>
      <w:pPr>
        <w:pBdr>
          <w:top w:val="dashed" w:color="9CA3AF" w:sz="6" w:space="14"/>
          <w:bottom w:val="dashed" w:color="9CA3AF" w:sz="6" w:space="14"/>
          <w:left w:val="dashed" w:color="9CA3AF" w:sz="6" w:space="14"/>
          <w:right w:val="dashed" w:color="9CA3AF" w:sz="6" w:space="14"/>
        </w:pBdr>
        <w:shd w:fill="F8FAFC" w:val="clear"/>
        <w:spacing w:after="60" w:before="160"/>
        <w:jc w:val="center"/>
      </w:pPr>
      <w:r>
        <w:rPr>
          <w:i/>
          <w:iCs/>
          <w:color w:val="6B7280"/>
          <w:sz w:val="22"/>
          <w:szCs w:val="22"/>
        </w:rPr>
        <w:t xml:space="preserve">[ spazio riservato al diagramma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Figura 3.3 — </w:t>
      </w:r>
      <w:r>
        <w:rPr>
          <w:i/>
          <w:iCs/>
          <w:sz w:val="20"/>
          <w:szCs w:val="20"/>
        </w:rPr>
        <w:t xml:space="preserve">Diagrammi di mappatura oggetti–sottosistemi per ciascun macro-caso d'uso (boundary, control, entity).</w:t>
      </w:r>
    </w:p>
    <w:p>
      <w:pPr>
        <w:pStyle w:val="Heading2"/>
      </w:pPr>
      <w:r>
        <w:t xml:space="preserve">3.5 Mappatura Hardware/Software</w:t>
      </w:r>
    </w:p>
    <w:p>
      <w:pPr>
        <w:spacing w:after="120" w:line="276"/>
        <w:jc w:val="both"/>
      </w:pPr>
      <w:r>
        <w:t xml:space="preserve">La mappatura è descritta in termini di nodi logici, indipendentemente dalla specifica infrastruttura di hosting. L'interfaccia, i controller e l'interfaccia al livello dati di ciascun sottosistema risiedono sui nodi di presentazione e applicativo, mentre la sorgente dati persistente è ospitata su un nodo separato. I nodi comunicano su canale HTTPS e possono coesistere sullo stesso host o essere distribuiti.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1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Nodo logico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Componenti ospitati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Protocolli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Dispositivo Utente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Browser; rendering dell'interfaccia e interazione utente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Browser web (desktop/mobile)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Nodo Web / Presentazione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Rendering SSR, server action, gestione sessione, proxy verso l'API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SvelteKit (Node)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Nodo Applicativo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REST, logica di business, sicurezza, accesso ai dati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Spring Boot (JVM)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 / JDBC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Nodo di Memorizzazione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Persistenza relazionale e contenuti binari (BLOB)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JDBC (TLS)</w:t>
            </w:r>
          </w:p>
        </w:tc>
      </w:tr>
    </w:tbl>
    <w:p>
      <w:pPr>
        <w:spacing w:after="80"/>
      </w:pPr>
    </w:p>
    <w:p>
      <w:pPr>
        <w:pBdr>
          <w:top w:val="dashed" w:color="9CA3AF" w:sz="6" w:space="14"/>
          <w:bottom w:val="dashed" w:color="9CA3AF" w:sz="6" w:space="14"/>
          <w:left w:val="dashed" w:color="9CA3AF" w:sz="6" w:space="14"/>
          <w:right w:val="dashed" w:color="9CA3AF" w:sz="6" w:space="14"/>
        </w:pBdr>
        <w:shd w:fill="F8FAFC" w:val="clear"/>
        <w:spacing w:after="60" w:before="160"/>
        <w:jc w:val="center"/>
      </w:pPr>
      <w:r>
        <w:rPr>
          <w:i/>
          <w:iCs/>
          <w:color w:val="6B7280"/>
          <w:sz w:val="22"/>
          <w:szCs w:val="22"/>
        </w:rPr>
        <w:t xml:space="preserve">[ spazio riservato al diagramma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Figura 3.4 — </w:t>
      </w:r>
      <w:r>
        <w:rPr>
          <w:i/>
          <w:iCs/>
          <w:sz w:val="20"/>
          <w:szCs w:val="20"/>
        </w:rPr>
        <w:t xml:space="preserve">Diagramma di deployment UML: allocazione dei componenti software sui nodi logici e relative dipendenze.</w:t>
      </w:r>
    </w:p>
    <w:p>
      <w:pPr>
        <w:pStyle w:val="Heading2"/>
      </w:pPr>
      <w:r>
        <w:t xml:space="preserve">3.6 Gestione dei dati persistenti</w:t>
      </w:r>
    </w:p>
    <w:p>
      <w:pPr>
        <w:spacing w:after="120" w:line="276"/>
        <w:jc w:val="both"/>
      </w:pPr>
      <w:r>
        <w:t xml:space="preserve">Il livello di memorizzazione è realizzato su un DBMS relazionale interrogato tramite interfaccia SQL, che assicura il rispetto delle proprietà ACID. Sono persistenti tutti gli oggetti entity che devono sopravvivere al singolo ciclo di esecuzione: Membro, Risorsa, ArtID, File, Certificato, Tag, Stato di visibilità, Condivisioni (interne ed esterne), Notifiche e registro di Audit.</w:t>
      </w:r>
    </w:p>
    <w:p>
      <w:pPr>
        <w:spacing w:after="120" w:line="276"/>
        <w:jc w:val="both"/>
      </w:pPr>
      <w:r>
        <w:rPr>
          <w:b/>
          <w:bCs/>
        </w:rPr>
        <w:t xml:space="preserve">Persistenza dei file. </w:t>
      </w:r>
      <w:r>
        <w:t xml:space="preserve">Il contenuto binario dei materiali e degli attestati è memorizzato come BLOB (tipo </w:t>
      </w:r>
      <w:r>
        <w:rPr>
          <w:i/>
          <w:iCs/>
        </w:rPr>
        <w:t xml:space="preserve">bytea</w:t>
      </w:r>
      <w:r>
        <w:t xml:space="preserve">) nella tabella </w:t>
      </w:r>
      <w:r>
        <w:rPr>
          <w:i/>
          <w:iCs/>
        </w:rPr>
        <w:t xml:space="preserve">file</w:t>
      </w:r>
      <w:r>
        <w:t xml:space="preserve">, accanto ai metadati (nome, estensione, tipo MIME). Il campo </w:t>
      </w:r>
      <w:r>
        <w:rPr>
          <w:i/>
          <w:iCs/>
        </w:rPr>
        <w:t xml:space="preserve">file_path</w:t>
      </w:r>
      <w:r>
        <w:t xml:space="preserve"> è predisposto per un eventuale riferimento a un object storage esterno, non utilizzato nello schema di memorizzazione corrente. La cancellazione è logica (soft-delete) tramite il campo </w:t>
      </w:r>
      <w:r>
        <w:rPr>
          <w:i/>
          <w:iCs/>
        </w:rPr>
        <w:t xml:space="preserve">deleted_at</w:t>
      </w:r>
      <w:r>
        <w:t xml:space="preserve">, a tutela dell'integrità referenziale e della tracciabilità storica.</w:t>
      </w:r>
    </w:p>
    <w:p>
      <w:pPr>
        <w:pStyle w:val="Heading3"/>
      </w:pPr>
      <w:r>
        <w:t xml:space="preserve">3.6.1 Schema E-R</w:t>
      </w:r>
    </w:p>
    <w:p>
      <w:pPr>
        <w:spacing w:after="120" w:line="276"/>
        <w:jc w:val="both"/>
      </w:pPr>
      <w:r>
        <w:t xml:space="preserve">Lo schema entità-relazione modella il Membro come entità centrale, proprietaria di Risorse, ArtID e Certificati. Ogni Risorsa e ogni Certificato riferiscono un File; ogni ArtID può riferire un'immagine di copertina (File), un Tag e uno Stato di visibilità. La relazione molti-a-molti tra Risorse e ArtID è realizzata dalla tabella di associazione artid_resource (con ordinamento), mentre le condivisioni interne ed esterne collegano i Membri e gli ArtID.</w:t>
      </w:r>
    </w:p>
    <w:p>
      <w:pPr>
        <w:pBdr>
          <w:top w:val="dashed" w:color="9CA3AF" w:sz="6" w:space="14"/>
          <w:bottom w:val="dashed" w:color="9CA3AF" w:sz="6" w:space="14"/>
          <w:left w:val="dashed" w:color="9CA3AF" w:sz="6" w:space="14"/>
          <w:right w:val="dashed" w:color="9CA3AF" w:sz="6" w:space="14"/>
        </w:pBdr>
        <w:shd w:fill="F8FAFC" w:val="clear"/>
        <w:spacing w:after="60" w:before="160"/>
        <w:jc w:val="center"/>
      </w:pPr>
      <w:r>
        <w:rPr>
          <w:i/>
          <w:iCs/>
          <w:color w:val="6B7280"/>
          <w:sz w:val="22"/>
          <w:szCs w:val="22"/>
        </w:rPr>
        <w:t xml:space="preserve">[ spazio riservato al diagramma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Figura 3.5 — </w:t>
      </w:r>
      <w:r>
        <w:rPr>
          <w:i/>
          <w:iCs/>
          <w:sz w:val="20"/>
          <w:szCs w:val="20"/>
        </w:rPr>
        <w:t xml:space="preserve">Schema Entità–Relazione (E-R) del database di ArtID.</w:t>
      </w:r>
    </w:p>
    <w:p>
      <w:pPr>
        <w:pStyle w:val="Heading3"/>
      </w:pPr>
      <w:r>
        <w:t xml:space="preserve">3.6.2 Modello relazionale</w:t>
      </w:r>
    </w:p>
    <w:p>
      <w:pPr>
        <w:spacing w:after="120" w:line="276"/>
        <w:jc w:val="both"/>
      </w:pPr>
      <w:r>
        <w:t xml:space="preserve">Di seguito il modello relazionale; sono evidenziate chiave primaria (PK) e chiavi esterne (FK).</w:t>
      </w:r>
    </w:p>
    <w:p>
      <w:pPr>
        <w:spacing w:after="80"/>
        <w:ind w:left="360" w:hanging="360"/>
      </w:pPr>
      <w:r>
        <w:rPr>
          <w:b/>
          <w:bCs/>
        </w:rPr>
        <w:t xml:space="preserve">user</w:t>
      </w:r>
      <w:r>
        <w:rPr>
          <w:sz w:val="21"/>
          <w:szCs w:val="21"/>
        </w:rPr>
        <w:t xml:space="preserve"> (id, name, surname, mail, password_hash, birthdate, birthplace, address, tax_id, spid_code, biography, linkedin_id, profession, is_public, phone, deleted_at) — PK: id; UNIQUE: mail</w:t>
      </w:r>
    </w:p>
    <w:p>
      <w:pPr>
        <w:spacing w:after="80"/>
        <w:ind w:left="360" w:hanging="360"/>
      </w:pPr>
      <w:r>
        <w:rPr>
          <w:b/>
          <w:bCs/>
        </w:rPr>
        <w:t xml:space="preserve">file</w:t>
      </w:r>
      <w:r>
        <w:rPr>
          <w:sz w:val="21"/>
          <w:szCs w:val="21"/>
        </w:rPr>
        <w:t xml:space="preserve"> (id, file_path, file_name, extension, mime_type, blob) — PK: id</w:t>
      </w:r>
    </w:p>
    <w:p>
      <w:pPr>
        <w:spacing w:after="80"/>
        <w:ind w:left="360" w:hanging="360"/>
      </w:pPr>
      <w:r>
        <w:rPr>
          <w:b/>
          <w:bCs/>
        </w:rPr>
        <w:t xml:space="preserve">tag</w:t>
      </w:r>
      <w:r>
        <w:rPr>
          <w:sz w:val="21"/>
          <w:szCs w:val="21"/>
        </w:rPr>
        <w:t xml:space="preserve"> (id, title, color) — PK: id</w:t>
      </w:r>
    </w:p>
    <w:p>
      <w:pPr>
        <w:spacing w:after="80"/>
        <w:ind w:left="360" w:hanging="360"/>
      </w:pPr>
      <w:r>
        <w:rPr>
          <w:b/>
          <w:bCs/>
        </w:rPr>
        <w:t xml:space="preserve">visibility_states</w:t>
      </w:r>
      <w:r>
        <w:rPr>
          <w:sz w:val="21"/>
          <w:szCs w:val="21"/>
        </w:rPr>
        <w:t xml:space="preserve"> (id, title) — PK: id</w:t>
      </w:r>
    </w:p>
    <w:p>
      <w:pPr>
        <w:spacing w:after="80"/>
        <w:ind w:left="360" w:hanging="360"/>
      </w:pPr>
      <w:r>
        <w:rPr>
          <w:b/>
          <w:bCs/>
        </w:rPr>
        <w:t xml:space="preserve">artid</w:t>
      </w:r>
      <w:r>
        <w:rPr>
          <w:sz w:val="21"/>
          <w:szCs w:val="21"/>
        </w:rPr>
        <w:t xml:space="preserve"> (id, id_user, id_tag, id_thumbnail, title, favourite, created_at, last_modified, deleted_at, is_public, is_private, id_visibility_state) — PK: id; FK: id_user→user, id_tag→tag, id_thumbnail→file, id_visibility_state→visibility_states</w:t>
      </w:r>
    </w:p>
    <w:p>
      <w:pPr>
        <w:spacing w:after="80"/>
        <w:ind w:left="360" w:hanging="360"/>
      </w:pPr>
      <w:r>
        <w:rPr>
          <w:b/>
          <w:bCs/>
        </w:rPr>
        <w:t xml:space="preserve">resource</w:t>
      </w:r>
      <w:r>
        <w:rPr>
          <w:sz w:val="21"/>
          <w:szCs w:val="21"/>
        </w:rPr>
        <w:t xml:space="preserve"> (id, id_user, id_visibility_state, id_file, title, description, favorite, created_at, last_modified, deleted_at) — PK: id; FK: id_user→user, id_file→file, id_visibility_state→visibility_states</w:t>
      </w:r>
    </w:p>
    <w:p>
      <w:pPr>
        <w:spacing w:after="80"/>
        <w:ind w:left="360" w:hanging="360"/>
      </w:pPr>
      <w:r>
        <w:rPr>
          <w:b/>
          <w:bCs/>
        </w:rPr>
        <w:t xml:space="preserve">certifications</w:t>
      </w:r>
      <w:r>
        <w:rPr>
          <w:sz w:val="21"/>
          <w:szCs w:val="21"/>
        </w:rPr>
        <w:t xml:space="preserve"> (id, id_user, id_file, title, description, is_public) — PK: id; FK: id_user→user, id_file→file</w:t>
      </w:r>
    </w:p>
    <w:p>
      <w:pPr>
        <w:spacing w:after="80"/>
        <w:ind w:left="360" w:hanging="360"/>
      </w:pPr>
      <w:r>
        <w:rPr>
          <w:b/>
          <w:bCs/>
        </w:rPr>
        <w:t xml:space="preserve">artid_resource</w:t>
      </w:r>
      <w:r>
        <w:rPr>
          <w:sz w:val="21"/>
          <w:szCs w:val="21"/>
        </w:rPr>
        <w:t xml:space="preserve"> (id_resource, id, rank) — PK: (id_resource, id); FK: id_resource→resource, id→artid</w:t>
      </w:r>
    </w:p>
    <w:p>
      <w:pPr>
        <w:spacing w:after="80"/>
        <w:ind w:left="360" w:hanging="360"/>
      </w:pPr>
      <w:r>
        <w:rPr>
          <w:b/>
          <w:bCs/>
        </w:rPr>
        <w:t xml:space="preserve">internal_share</w:t>
      </w:r>
      <w:r>
        <w:rPr>
          <w:sz w:val="21"/>
          <w:szCs w:val="21"/>
        </w:rPr>
        <w:t xml:space="preserve"> (id_user, id) — PK: (id_user, id); FK: id_user→user, id→artid</w:t>
      </w:r>
    </w:p>
    <w:p>
      <w:pPr>
        <w:spacing w:after="80"/>
        <w:ind w:left="360" w:hanging="360"/>
      </w:pPr>
      <w:r>
        <w:rPr>
          <w:b/>
          <w:bCs/>
        </w:rPr>
        <w:t xml:space="preserve">external_share</w:t>
      </w:r>
      <w:r>
        <w:rPr>
          <w:sz w:val="21"/>
          <w:szCs w:val="21"/>
        </w:rPr>
        <w:t xml:space="preserve"> (id, id_artid, click_counter, is_active, expiration_date, last_opened) — PK: id; FK: id_artid→artid</w:t>
      </w:r>
    </w:p>
    <w:p>
      <w:pPr>
        <w:spacing w:after="80"/>
        <w:ind w:left="360" w:hanging="360"/>
      </w:pPr>
      <w:r>
        <w:rPr>
          <w:b/>
          <w:bCs/>
        </w:rPr>
        <w:t xml:space="preserve">notification</w:t>
      </w:r>
      <w:r>
        <w:rPr>
          <w:sz w:val="21"/>
          <w:szCs w:val="21"/>
        </w:rPr>
        <w:t xml:space="preserve"> (id, id_user, message, created_at, read_at) — PK: id; FK: id_user→user</w:t>
      </w:r>
    </w:p>
    <w:p>
      <w:pPr>
        <w:spacing w:after="80"/>
        <w:ind w:left="360" w:hanging="360"/>
      </w:pPr>
      <w:r>
        <w:rPr>
          <w:b/>
          <w:bCs/>
        </w:rPr>
        <w:t xml:space="preserve">audit_log</w:t>
      </w:r>
      <w:r>
        <w:rPr>
          <w:sz w:val="21"/>
          <w:szCs w:val="21"/>
        </w:rPr>
        <w:t xml:space="preserve"> (id, id_user, action, entity_type, entity_id, old_value, new_value, ip_address, user_agent, timestamp) — PK: id; FK: id_user→user</w:t>
      </w:r>
    </w:p>
    <w:p>
      <w:pPr>
        <w:pStyle w:val="Heading3"/>
      </w:pPr>
      <w:r>
        <w:t xml:space="preserve">3.6.3 Struttura delle tabelle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50"/>
        <w:gridCol w:w="2050"/>
        <w:gridCol w:w="31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Attributo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Vincoli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identity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Identificativo univoco del Membro AFAM.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surname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Cognome.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mail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Email, credenziale di accesso.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Hash BCrypt della password.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birthdate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di nascita.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birthplace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Luogo di nascita.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address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Indirizzo / residenza.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tax_id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Codice fiscale.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spid_code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Codice SPID associato (predisposto).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biography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Biografia.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linkedin_id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Profilo LinkedIn.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profession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Professione / area di interesse.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is_public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DEFAULT false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Visibilità pubblica del profilo.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phone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Numero di telefono.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deleted_at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Istante di cancellazione logica (soft-delete).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50"/>
        <w:gridCol w:w="2050"/>
        <w:gridCol w:w="31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Attributo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Vincoli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identity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Identificativo del file.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file_path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Riferimento a storage esterno (predisposto); non usato nello storage BLOB corrente.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file_name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originale del file.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extension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Estensione del file.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mime_type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 MIME.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blob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bytea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Contenuto binario del file (persistenza su DBMS).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tag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50"/>
        <w:gridCol w:w="2050"/>
        <w:gridCol w:w="31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Attributo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Vincoli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identity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Identificativo del tag.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del tag / competenza.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color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Colore di visualizzazione.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visibility_states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50"/>
        <w:gridCol w:w="2050"/>
        <w:gridCol w:w="31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Attributo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Vincoli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identity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Identificativo dello stato di visibilità.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Etichetta: Pubblico, Privato, Unlisted.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artid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50"/>
        <w:gridCol w:w="2050"/>
        <w:gridCol w:w="31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Attributo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Vincoli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identity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Identificativo dell'ArtID.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id_user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FK→user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Membro proprietario.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id_tag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FK→tag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Tag associato.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id_thumbnail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FK→file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Immagine di copertina.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Titolo dell'ArtID.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favourite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DEFAULT false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Contrassegno di preferito.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DEFAULT now()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di creazione.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last_modified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DEFAULT now()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di ultima modifica.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deleted_at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Cancellazione logica.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is_public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false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Flag di visibilità pubblica.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is_private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false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Flag di visibilità privata.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id_visibility_state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FK→visibility_states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Stato di visibilità (Pubblico/Privato/Unlisted).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resource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50"/>
        <w:gridCol w:w="2050"/>
        <w:gridCol w:w="31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Attributo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Vincoli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identity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Identificativo del materiale.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id_user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FK→user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Membro proprietario.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id_visibility_state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FK→visibility_states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Stato di visibilità.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id_file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FK→file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 associato al materiale.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Titolo del materiale.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Descrizione / note.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favorite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DEFAULT false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Contrassegno di preferito.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DEFAULT now()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di creazione.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last_modified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DEFAULT now()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di ultima modifica.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deleted_at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Cancellazione logica.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50"/>
        <w:gridCol w:w="2050"/>
        <w:gridCol w:w="31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Attributo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Vincoli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identity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Identificativo del certificato.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id_user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FK→user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Membro proprietario.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id_file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FK→file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 dell'attestato.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Titolo del certificato.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Note descrittive.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is_public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DEFAULT false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Visibilità pubblica.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artid_resource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50"/>
        <w:gridCol w:w="2050"/>
        <w:gridCol w:w="31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Attributo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Vincoli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id_resource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FK→resource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Materiale incluso nell'ArtID.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FK→artid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ArtID contenitore.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rank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DEFAULT 0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Ordinamento del materiale nell'ArtID.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internal_share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50"/>
        <w:gridCol w:w="2050"/>
        <w:gridCol w:w="31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Attributo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Vincoli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id_user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FK→user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Membro destinatario della condivisione.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FK→artid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ArtID condiviso internamente.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external_share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50"/>
        <w:gridCol w:w="2050"/>
        <w:gridCol w:w="31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Attributo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Vincoli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identity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Identificativo della condivisione esterna.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id_artid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FK→artid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ArtID condiviso tramite link.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click_counter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DEFAULT 0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Numero di accessi al link.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is_active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DEFAULT true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 se il link è attivo.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expiration_date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di scadenza del link.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last_opened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Istante dell'ultimo accesso.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notification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50"/>
        <w:gridCol w:w="2050"/>
        <w:gridCol w:w="31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Attributo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Vincoli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identity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Identificativo della notifica.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id_user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FK→user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Membro destinatario.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message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Testo della notifica.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DEFAULT now()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di creazione.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read_at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di lettura (NULL se non letta).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audit_log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50"/>
        <w:gridCol w:w="2050"/>
        <w:gridCol w:w="31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Attributo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Vincoli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identity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Identificativo della voce di audit.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id_user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FK→user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Utente che ha eseguito l'azione.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Azione registrata.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entity_type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 di entità interessata.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entity_id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Identificativo dell'entità interessata.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old_value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Stato precedente (JSON).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new_value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Stato successivo (JSON).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ip_address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inet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Indirizzo IP di origine.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user_agent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agent del client.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timestamp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DEFAULT now()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Istante dell'evento.</w:t>
            </w:r>
          </w:p>
        </w:tc>
      </w:tr>
    </w:tbl>
    <w:p>
      <w:pPr>
        <w:pStyle w:val="Heading2"/>
      </w:pPr>
      <w:r>
        <w:t xml:space="preserve">3.7 Controllo degli accessi e sicurezza</w:t>
      </w:r>
    </w:p>
    <w:p>
      <w:pPr>
        <w:spacing w:after="120" w:line="276"/>
        <w:jc w:val="both"/>
      </w:pPr>
      <w:r>
        <w:t xml:space="preserve">Il modello utente prevede tre profili di accesso: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Membro AFAM: </w:t>
      </w:r>
      <w:r>
        <w:t xml:space="preserve">utente autenticato e proprietario dei propri dati; dispone del ruolo applicativo unico ROLE_USER.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Utente esterno / ospite: </w:t>
      </w:r>
      <w:r>
        <w:t xml:space="preserve">non autenticato; accede in sola lettura ai contenuti pubblici o a quelli raggiunti tramite un link di condivisione esterno valido.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Provider di identità digitale (SPID): </w:t>
      </w:r>
      <w:r>
        <w:t xml:space="preserve">attore esterno previsto per l'autenticazione federata (predisposto).</w:t>
      </w:r>
    </w:p>
    <w:p>
      <w:pPr>
        <w:spacing w:after="120" w:line="276"/>
        <w:jc w:val="both"/>
      </w:pPr>
      <w:r>
        <w:rPr>
          <w:b/>
          <w:bCs/>
        </w:rPr>
        <w:t xml:space="preserve">Autenticazione. </w:t>
      </w:r>
      <w:r>
        <w:t xml:space="preserve">È stateless e basata su token JWT firmati (HS256): a seguito di login o registrazione il server rilascia un token con scadenza; le richieste successive sono autenticate da un filtro dedicato nella catena di sicurezza. Le password sono memorizzate come hash BCrypt. Gli endpoint di login, registrazione e documentazione API sono pubblici; tutti gli altri richiedono un token valido. La verifica a due fattori (OTP) e l'autenticazione SPID sono predisposte e integrabili senza modificare la logica di business, in coerenza con l'obiettivo di disaccoppiamento.</w:t>
      </w:r>
    </w:p>
    <w:p>
      <w:pPr>
        <w:spacing w:after="120" w:line="276"/>
        <w:jc w:val="both"/>
      </w:pPr>
      <w:r>
        <w:rPr>
          <w:b/>
          <w:bCs/>
        </w:rPr>
        <w:t xml:space="preserve">Sessione lato client. </w:t>
      </w:r>
      <w:r>
        <w:t xml:space="preserve">Il token è conservato in un cookie httpOnly con attributo SameSite e non è mai esposto al codice JavaScript; le chiamate del browser sono instradate attraverso un proxy server-side che inserisce il token come header di autorizzazione.</w:t>
      </w:r>
    </w:p>
    <w:p>
      <w:pPr>
        <w:spacing w:after="120" w:line="276"/>
        <w:jc w:val="both"/>
      </w:pPr>
      <w:r>
        <w:rPr>
          <w:b/>
          <w:bCs/>
        </w:rPr>
        <w:t xml:space="preserve">Autorizzazione. </w:t>
      </w:r>
      <w:r>
        <w:t xml:space="preserve">È applicata a livello applicativo per appartenenza (ownership): ogni operazione verifica che il proprietario del record corrisponda al Membro autenticato. La matrice di accesso seguente sintetizza i permessi (C=Crea, R=Leggi, U=Aggiorna, D=Elimina).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2100"/>
        <w:gridCol w:w="2100"/>
        <w:gridCol w:w="2000"/>
      </w:tblGrid>
      <w:tr>
        <w:trPr>
          <w:tblHeader/>
        </w:trPr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Risorsa / Operazione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Membro proprietario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Altro Membro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Ospite esterno</w:t>
            </w:r>
          </w:p>
        </w:tc>
      </w:tr>
      <w:tr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Profilo personale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 R U 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 (se pubblico)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 (se pubblico)</w:t>
            </w:r>
          </w:p>
        </w:tc>
      </w:tr>
      <w:tr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Materiali e ArtID propri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 R U 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 (se condiviso)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ArtID pubblico altrui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Link di condivisione esterno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 R U 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 (link valido)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 (link valido)</w:t>
            </w:r>
          </w:p>
        </w:tc>
      </w:tr>
      <w:tr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Certificati propri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 R U 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 (se pubblico)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 (se pubblico)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b/>
          <w:bCs/>
        </w:rPr>
        <w:t xml:space="preserve">Protezione dei dati. </w:t>
      </w:r>
      <w:r>
        <w:t xml:space="preserve">Trasmissione cifrata su HTTPS/TLS e cifratura degli asset a riposo a tutela della proprietà intellettuale (GDPR); validazione e sanificazione degli input (lato client tramite schemi e lato server) e impiego di query parametrizzate, a protezione da SQL injection; vincoli su tipo e dimensione dei file (massimo 10 MB).</w:t>
      </w:r>
    </w:p>
    <w:p>
      <w:pPr>
        <w:spacing w:after="120" w:line="276"/>
        <w:jc w:val="both"/>
      </w:pPr>
      <w:r>
        <w:rPr>
          <w:b/>
          <w:bCs/>
        </w:rPr>
        <w:t xml:space="preserve">Auditing. </w:t>
      </w:r>
      <w:r>
        <w:t xml:space="preserve">Il registro di audit memorizza azioni, tipo ed identificativo dell'entità, valori precedente e successivo, indirizzo IP e user agent, abilitando la tracciabilità delle operazioni.</w:t>
      </w:r>
    </w:p>
    <w:p>
      <w:pPr>
        <w:spacing w:after="120" w:line="276"/>
        <w:jc w:val="both"/>
      </w:pPr>
      <w:r>
        <w:rPr>
          <w:b/>
          <w:bCs/>
        </w:rPr>
        <w:t xml:space="preserve">Nota sull'accesso al DBMS. </w:t>
      </w:r>
      <w:r>
        <w:t xml:space="preserve">Poiché l'accesso ai dati è mediato esclusivamente dal nodo applicativo — che si connette al DBMS con un'utenza dedicata, mentre il client non interroga mai direttamente il database — l'autorizzazione è centralizzata nel livello applicativo. Si raccomanda di non esporre credenziali dirette al DBMS verso i client e, qualora il database sia ospitato su una piattaforma che espone API dati dirette, di abilitare politiche di sicurezza a livello di riga (Row Level Security) come difesa in profondità.</w:t>
      </w:r>
    </w:p>
    <w:p>
      <w:pPr>
        <w:pStyle w:val="Heading2"/>
      </w:pPr>
      <w:r>
        <w:t xml:space="preserve">3.8 Controllo globale del software</w:t>
      </w:r>
    </w:p>
    <w:p>
      <w:pPr>
        <w:spacing w:after="120" w:line="276"/>
        <w:jc w:val="both"/>
      </w:pPr>
      <w:r>
        <w:t xml:space="preserve">Il controllo globale segue un modello request-driven (richiesta/risposta) di tipo sincrono su API REST. Ogni richiesta è autenticata indipendentemente tramite token JWT (statelessness), il che abilita la scalabilità orizzontale del livello applicativo.</w:t>
      </w:r>
    </w:p>
    <w:p>
      <w:pPr>
        <w:spacing w:after="120" w:line="276"/>
        <w:jc w:val="both"/>
      </w:pPr>
      <w:r>
        <w:rPr>
          <w:b/>
          <w:bCs/>
        </w:rPr>
        <w:t xml:space="preserve">Flusso di una richiesta. </w:t>
      </w:r>
      <w:r>
        <w:t xml:space="preserve">Browser → nodo Web/SSR (rendering e proxy SvelteKit) → API REST del nodo applicativo → service → repository → PostgreSQL; la risposta viaggia in formato JSON tipizzato, secondo lo schema OpenAPI condiviso con il client.</w:t>
      </w:r>
    </w:p>
    <w:p>
      <w:pPr>
        <w:spacing w:after="120" w:line="276"/>
        <w:jc w:val="both"/>
      </w:pPr>
      <w:r>
        <w:rPr>
          <w:b/>
          <w:bCs/>
        </w:rPr>
        <w:t xml:space="preserve">Concorrenza e transazioni. </w:t>
      </w:r>
      <w:r>
        <w:t xml:space="preserve">Le connessioni al DBMS sono gestite da un pool; le operazioni che modificano più record sono racchiuse in transazioni a livello di service per garantirne l'atomicità e la coerenza. La cancellazione logica preserva l'integrità referenziale storica.</w:t>
      </w:r>
    </w:p>
    <w:p>
      <w:pPr>
        <w:spacing w:after="120" w:line="276"/>
        <w:jc w:val="both"/>
      </w:pPr>
      <w:r>
        <w:rPr>
          <w:b/>
          <w:bCs/>
        </w:rPr>
        <w:t xml:space="preserve">Flusso di caricamento di un materiale. </w:t>
      </w:r>
      <w:r>
        <w:t xml:space="preserve">Il Membro compila i metadati e seleziona il file; il contenuto è inviato (multipart) al nodo applicativo tramite il proxy; il server valida tipo e dimensione (≤ 10 MB) e, in un'unica transazione, persiste il contenuto come BLOB nella tabella file e crea il record resource. In download il backend recupera il BLOB e lo trasmette in streaming al client con gli header MIME corretti.</w:t>
      </w:r>
    </w:p>
    <w:p>
      <w:pPr>
        <w:spacing w:after="120" w:line="276"/>
        <w:jc w:val="both"/>
      </w:pPr>
      <w:r>
        <w:rPr>
          <w:b/>
          <w:bCs/>
        </w:rPr>
        <w:t xml:space="preserve">Nota evolutiva. </w:t>
      </w:r>
      <w:r>
        <w:t xml:space="preserve">Lo strato di storage è incapsulato dietro i Data Access Object: un'eventuale migrazione verso un object storage (ad esempio tramite URL pre-firmati verso un servizio S3-compatibile) sostituirebbe la sola implementazione del DAO dei file, lasciando invariati controller e service.</w:t>
      </w:r>
    </w:p>
    <w:p>
      <w:pPr>
        <w:pBdr>
          <w:top w:val="dashed" w:color="9CA3AF" w:sz="6" w:space="14"/>
          <w:bottom w:val="dashed" w:color="9CA3AF" w:sz="6" w:space="14"/>
          <w:left w:val="dashed" w:color="9CA3AF" w:sz="6" w:space="14"/>
          <w:right w:val="dashed" w:color="9CA3AF" w:sz="6" w:space="14"/>
        </w:pBdr>
        <w:shd w:fill="F8FAFC" w:val="clear"/>
        <w:spacing w:after="60" w:before="160"/>
        <w:jc w:val="center"/>
      </w:pPr>
      <w:r>
        <w:rPr>
          <w:i/>
          <w:iCs/>
          <w:color w:val="6B7280"/>
          <w:sz w:val="22"/>
          <w:szCs w:val="22"/>
        </w:rPr>
        <w:t xml:space="preserve">[ spazio riservato al diagramma ]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Figura 3.6 — </w:t>
      </w:r>
      <w:r>
        <w:rPr>
          <w:i/>
          <w:iCs/>
          <w:sz w:val="20"/>
          <w:szCs w:val="20"/>
        </w:rPr>
        <w:t xml:space="preserve">Diagramma di sequenza dei flussi principali (autenticazione e caricamento/recupero di un materiale).</w:t>
      </w:r>
    </w:p>
    <w:p>
      <w:pPr>
        <w:pStyle w:val="Heading2"/>
      </w:pPr>
      <w:r>
        <w:t xml:space="preserve">3.9 Condizioni al contorno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Avvio (startup): </w:t>
      </w:r>
      <w:r>
        <w:t xml:space="preserve">bootstrap dell'applicazione Spring Boot, inizializzazione del pool di connessioni al DBMS, caricamento della configurazione per profilo ed esposizione della specifica OpenAPI; avvio del nodo SvelteKit per la presentazione.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Arresto (shutdown): </w:t>
      </w:r>
      <w:r>
        <w:t xml:space="preserve">chiusura ordinata delle connessioni e completamento delle transazioni in corso.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Scadenza della sessione: </w:t>
      </w:r>
      <w:r>
        <w:t xml:space="preserve">alla scadenza o invalidità del token il client riceve una risposta 401/403 e viene reindirizzato alla pagina di login (logout automatico).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Gestione degli errori: </w:t>
      </w:r>
      <w:r>
        <w:t xml:space="preserve">validazione con messaggi puntuali (campi mancanti o in formato errato), conflitti su email o codice fiscale già esistenti (409), file oltre il limite consentito, risorsa non trovata (404) e accesso negato (403); il client mostra il feedback in modo contestuale.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Casi limite della condivisione: </w:t>
      </w:r>
      <w:r>
        <w:t xml:space="preserve">l'accesso al link di un ArtID cancellato o reso privato mostra una pagina informativa dedicata; un link scaduto o disattivato nega l'accesso.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Integrità dello storage: </w:t>
      </w:r>
      <w:r>
        <w:t xml:space="preserve">la persistenza del contenuto (BLOB) avviene nella stessa transazione del record che lo riferisce, evitando stati incoerenti tra metadati e contenuto.</w:t>
      </w:r>
    </w:p>
    <w:p>
      <w:pPr>
        <w:spacing w:after="120" w:line="276"/>
        <w:jc w:val="both"/>
      </w:pPr>
      <w:r>
        <w:rPr>
          <w:i/>
          <w:iCs/>
        </w:rPr>
        <w:t xml:space="preserve">Nota metodologica: </w:t>
      </w:r>
      <w:r>
        <w:rPr>
          <w:i/>
          <w:iCs/>
        </w:rPr>
        <w:t xml:space="preserve">eventuali nuovi casi d'uso amministrativi individuati in questa fase vanno riportati nel RAD e non nel presente documento.</w:t>
      </w:r>
    </w:p>
    <w:p>
      <w:pPr>
        <w:pStyle w:val="Heading1"/>
      </w:pPr>
      <w:r>
        <w:t xml:space="preserve">4. Servizi dei sottosistemi</w:t>
      </w:r>
    </w:p>
    <w:p>
      <w:pPr>
        <w:spacing w:after="120" w:line="276"/>
        <w:jc w:val="both"/>
      </w:pPr>
      <w:r>
        <w:t xml:space="preserve">Questa sezione descrive i servizi (interfacce) esposti da ciascun sottosistema. La tabella finale riepiloga gli endpoint REST, distinguendo quelli implementati da quelli predisposti.</w:t>
      </w:r>
    </w:p>
    <w:p>
      <w:pPr>
        <w:pStyle w:val="Heading2"/>
      </w:pPr>
      <w:r>
        <w:t xml:space="preserve">4.1 Gestione Autenticazione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Registrazione di un nuovo Membro con validazione dei dati e delle credenziali.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Autenticazione con email e password e rilascio del token JWT; recupero del profilo dell'utente corrente.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Logout e invalidazione della sessione lato client.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Predisposti: autenticazione SPID, verifica OTP a due fattori, recupero e modifica password, eliminazione account.</w:t>
      </w:r>
    </w:p>
    <w:p>
      <w:pPr>
        <w:pStyle w:val="Heading2"/>
      </w:pPr>
      <w:r>
        <w:t xml:space="preserve">4.2 Gestione Profilo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Calcolo della percentuale di completamento del profilo.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Lettura e aggiornamento dei dati anagrafici e professionali e dell'impostazione di visibilità (pubblico/privato).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Predisposto: collegamento dell'identità SPID al profilo.</w:t>
      </w:r>
    </w:p>
    <w:p>
      <w:pPr>
        <w:pStyle w:val="Heading2"/>
      </w:pPr>
      <w:r>
        <w:t xml:space="preserve">4.3 Gestione Materiali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Elenco e conteggio dei materiali del Membro; recupero (streaming) del contenuto di un file.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Creazione, aggiornamento e cancellazione di un materiale con persistenza del contenuto come BLOB.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Elenco e conteggio degli ArtID; organizzazione dei materiali negli ArtID, gestione di tag, stato di visibilità e preferiti.</w:t>
      </w:r>
    </w:p>
    <w:p>
      <w:pPr>
        <w:pStyle w:val="Heading2"/>
      </w:pPr>
      <w:r>
        <w:t xml:space="preserve">4.4 Gestione Condivisione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Conteggio delle condivisioni (interne ed esterne) del Membro.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Predisposti: creazione ed elenco delle condivisioni interne ed esterne, attivazione/disattivazione e scadenza dei link, tracciamento degli accessi.</w:t>
      </w:r>
    </w:p>
    <w:p>
      <w:pPr>
        <w:pStyle w:val="Heading2"/>
      </w:pPr>
      <w:r>
        <w:t xml:space="preserve">4.5 Gestione Certificazioni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Conteggio dei certificati del Membro.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Predisposti: elenco, caricamento, download e rimozione degli attestati con metadati e visibilità.</w:t>
      </w:r>
    </w:p>
    <w:p>
      <w:pPr>
        <w:pStyle w:val="Heading2"/>
      </w:pPr>
      <w:r>
        <w:t xml:space="preserve">4.6 Discovery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Predisposto: ricerca dei profili pubblici e dei contenuti per dati nominativi e per competenze/tag.</w:t>
      </w:r>
    </w:p>
    <w:p>
      <w:pPr>
        <w:pStyle w:val="Heading2"/>
      </w:pPr>
      <w:r>
        <w:t xml:space="preserve">4.7 Riepilogo degli endpoint REST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50"/>
        <w:gridCol w:w="3776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Stato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3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Registrazione di un nuovo Membro.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3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Autenticazione e rilascio del token JWT.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3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Profilo dell'utente corrente.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/api/users, /api/users/{id}</w:t>
            </w:r>
          </w:p>
        </w:tc>
        <w:tc>
          <w:tcPr>
            <w:tcW w:type="dxa" w:w="3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Lettura utenti.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/api/profile/completion</w:t>
            </w:r>
          </w:p>
        </w:tc>
        <w:tc>
          <w:tcPr>
            <w:tcW w:type="dxa" w:w="3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Percentuale di completamento del profilo.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/api/artids, /api/artids/count</w:t>
            </w:r>
          </w:p>
        </w:tc>
        <w:tc>
          <w:tcPr>
            <w:tcW w:type="dxa" w:w="3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Elenco e conteggio degli ArtID del Membro.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/api/resources, /api/resources/count</w:t>
            </w:r>
          </w:p>
        </w:tc>
        <w:tc>
          <w:tcPr>
            <w:tcW w:type="dxa" w:w="3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Elenco e conteggio dei materiali.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/api/resources/{id}/file</w:t>
            </w:r>
          </w:p>
        </w:tc>
        <w:tc>
          <w:tcPr>
            <w:tcW w:type="dxa" w:w="3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Recupero (streaming) del contenuto del file.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POST / PUT / DELETE</w:t>
            </w:r>
          </w:p>
        </w:tc>
        <w:tc>
          <w:tcPr>
            <w:tcW w:type="dxa" w:w="3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/api/resources, /api/resources/{id}</w:t>
            </w:r>
          </w:p>
        </w:tc>
        <w:tc>
          <w:tcPr>
            <w:tcW w:type="dxa" w:w="3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Creazione, aggiornamento ed eliminazione di un materiale.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/api/certifications/count</w:t>
            </w:r>
          </w:p>
        </w:tc>
        <w:tc>
          <w:tcPr>
            <w:tcW w:type="dxa" w:w="3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Conteggio dei certificati.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/api/shares/count</w:t>
            </w:r>
          </w:p>
        </w:tc>
        <w:tc>
          <w:tcPr>
            <w:tcW w:type="dxa" w:w="3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Conteggio delle condivisioni.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3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Condivisioni, certificati, discovery, SPID, OTP</w:t>
            </w:r>
          </w:p>
        </w:tc>
        <w:tc>
          <w:tcPr>
            <w:tcW w:type="dxa" w:w="3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Servizi previsti dal RAD.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Predisp.</w:t>
            </w:r>
          </w:p>
        </w:tc>
      </w:tr>
    </w:tbl>
    <w:p>
      <w:pPr>
        <w:pStyle w:val="Heading1"/>
      </w:pPr>
      <w:r>
        <w:t xml:space="preserve">5. Glossario</w:t>
      </w:r>
    </w:p>
    <w:p>
      <w:pPr>
        <w:spacing w:after="120" w:line="276"/>
        <w:jc w:val="both"/>
      </w:pPr>
      <w:r>
        <w:t xml:space="preserve">Per i termini di dominio e gli acronimi si rimanda alle tabelle del paragrafo 1.3. Si richiamano qui i concetti architetturali principali impiegati nel documento: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Architettura three-tier: </w:t>
      </w:r>
      <w:r>
        <w:t xml:space="preserve">organizzazione del sistema in tre livelli — interfaccia, logica applicativa e memorizzazione.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Pattern Repository: </w:t>
      </w:r>
      <w:r>
        <w:t xml:space="preserve">astrazione che centralizza e uniforma l'accesso alla sorgente dati, nascondendone la complessità.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Client-server: </w:t>
      </w:r>
      <w:r>
        <w:t xml:space="preserve">modello distribuito in cui i client richiedono servizi a uno o più server.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Statelessness: </w:t>
      </w:r>
      <w:r>
        <w:t xml:space="preserve">assenza di stato di sessione sul server: ogni richiesta è autosufficiente e autenticata tramite token.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Soft-delete: </w:t>
      </w:r>
      <w:r>
        <w:t xml:space="preserve">cancellazione logica di un record tramite marcatura temporale, senza rimozione fisica.</w:t>
      </w:r>
    </w:p>
    <w:p>
      <w:pPr>
        <w:pStyle w:val="Heading1"/>
      </w:pPr>
      <w:r>
        <w:t xml:space="preserve">6. Copyright e diritto d'autore</w:t>
      </w:r>
    </w:p>
    <w:p>
      <w:pPr>
        <w:spacing w:after="120" w:line="276"/>
        <w:jc w:val="both"/>
      </w:pPr>
      <w:r>
        <w:t xml:space="preserve">La presente documentazione è protetta dalle leggi sul diritto d'autore. Nessuna parte di questo documento può essere riprodotta, distribuita o trasmessa in alcuna forma o con alcun mezzo, elettronico o meccanico, inclusa la fotocopia, la registrazione o altri sistemi di memorizzazione e recupero di informazioni, senza il previo consenso scritto degli autori.</w:t>
      </w:r>
    </w:p>
    <w:p>
      <w:pPr>
        <w:spacing w:before="200"/>
      </w:pPr>
      <w:r>
        <w:rPr>
          <w:b/>
          <w:bCs/>
        </w:rPr>
        <w:t xml:space="preserve">ArtID ©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center"/>
    </w:pPr>
    <w:r>
      <w:rPr>
        <w:color w:val="6B7280"/>
        <w:sz w:val="18"/>
        <w:szCs w:val="18"/>
      </w:rPr>
      <w:t xml:space="preserve">Pagina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B7280"/>
        <w:sz w:val="18"/>
        <w:szCs w:val="18"/>
      </w:rPr>
      <w:t xml:space="preserve">System Design Document — ArtID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180"/>
      <w:outlineLvl w:val="2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 Document - ArtID</dc:title>
  <dc:creator>Team ArtID</dc:creator>
  <dc:description>SDD del progetto ArtID</dc:description>
  <cp:lastModifiedBy>Un-named</cp:lastModifiedBy>
  <cp:revision>1</cp:revision>
  <dcterms:created xsi:type="dcterms:W3CDTF">2026-06-02T15:19:26.005Z</dcterms:created>
  <dcterms:modified xsi:type="dcterms:W3CDTF">2026-06-02T15:19:26.006Z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