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Antibody user guide</w:t>
      </w:r>
    </w:p>
    <w:p>
      <w:pPr>
        <w:pStyle w:val="Subtitle"/>
      </w:pPr>
      <w:r>
        <w:t xml:space="preserve">Protein Chain Workbench, version 3  ·  1 November 2026</w:t>
      </w:r>
    </w:p>
    <w:p>
      <w:r>
        <w:t xml:space="preserve">Use Antibody when the molecule is an antibody panel: a registered panel from Luma, or a panel you design in the workbench. The path runs from the request, through the chain and the construct, to expression, a recipe report, and a GaaL assembly job.</w:t>
      </w:r>
    </w:p>
    <w:p>
      <w:r>
        <w:t xml:space="preserve">Protein, the other button at the top, is the path for a receptor, a scaffold, or an antigen. That path has its own guide.</w:t>
      </w:r>
    </w:p>
    <w:p>
      <w:pPr>
        <w:pStyle w:val="Heading1"/>
      </w:pPr>
      <w:r>
        <w:t xml:space="preserve">The screen</w:t>
      </w:r>
    </w:p>
    <w:p>
      <w:r>
        <w:t xml:space="preserve">Open the workbench and press Antibody. The window has three columns. The left column is the list you are working from. The center is the step you selected. The right column is the Viewer.</w:t>
      </w:r>
    </w:p>
    <w:p>
      <w:pPr>
        <w:pStyle w:val="ListBullet"/>
        <w:numPr>
          <w:ilvl w:val="0"/>
          <w:numId w:val="1"/>
        </w:numPr>
      </w:pPr>
      <w:r>
        <w:t xml:space="preserve">Drag the edge between columns to give one column more room. Double-click that edge to put the width back.</w:t>
      </w:r>
    </w:p>
    <w:p>
      <w:pPr>
        <w:pStyle w:val="ListBullet"/>
        <w:numPr>
          <w:ilvl w:val="0"/>
          <w:numId w:val="1"/>
        </w:numPr>
      </w:pPr>
      <w:r>
        <w:t xml:space="preserve">Expand View hides the side columns so the center fills the window. Restore View brings them back.</w:t>
      </w:r>
    </w:p>
    <w:p>
      <w:pPr>
        <w:pStyle w:val="ListBullet"/>
        <w:numPr>
          <w:ilvl w:val="0"/>
          <w:numId w:val="1"/>
        </w:numPr>
      </w:pPr>
      <w:r>
        <w:t xml:space="preserve">Theme changes the colors.</w:t>
      </w:r>
    </w:p>
    <w:p>
      <w:r>
        <w:t xml:space="preserve">The workbench keeps your open panel, nucleotide choices, and expression plan in the browser you are using. Another browser, or cleared site data, starts from the registered catalog again.</w:t>
      </w:r>
    </w:p>
    <w:p>
      <w:pPr>
        <w:pStyle w:val="Heading1"/>
      </w:pPr>
      <w:r>
        <w:t xml:space="preserve">The tabs</w:t>
      </w:r>
    </w:p>
    <w:p>
      <w:r>
        <w:t xml:space="preserve">The tabs across the top are the antibody steps. The count under each name is where that step stands.</w:t>
      </w:r>
    </w:p>
    <w:p>
      <w:pPr>
        <w:pStyle w:val="ListBullet"/>
        <w:numPr>
          <w:ilvl w:val="0"/>
          <w:numId w:val="1"/>
        </w:numPr>
      </w:pPr>
      <w:r>
        <w:t xml:space="preserve">Request opens a registered panel or a draft you started.</w:t>
      </w:r>
    </w:p>
    <w:p>
      <w:pPr>
        <w:pStyle w:val="ListBullet"/>
        <w:numPr>
          <w:ilvl w:val="0"/>
          <w:numId w:val="1"/>
        </w:numPr>
      </w:pPr>
      <w:r>
        <w:t xml:space="preserve">Chain lists each designed protein and the nucleotide string you want to build.</w:t>
      </w:r>
    </w:p>
    <w:p>
      <w:pPr>
        <w:pStyle w:val="ListBullet"/>
        <w:numPr>
          <w:ilvl w:val="0"/>
          <w:numId w:val="1"/>
        </w:numPr>
      </w:pPr>
      <w:r>
        <w:t xml:space="preserve">Variable regions and Mutations appear only while a new panel is still being designed.</w:t>
      </w:r>
    </w:p>
    <w:p>
      <w:pPr>
        <w:pStyle w:val="ListBullet"/>
        <w:numPr>
          <w:ilvl w:val="0"/>
          <w:numId w:val="1"/>
        </w:numPr>
      </w:pPr>
      <w:r>
        <w:t xml:space="preserve">Construct is how many plasmids you will express with.</w:t>
      </w:r>
    </w:p>
    <w:p>
      <w:pPr>
        <w:pStyle w:val="ListBullet"/>
        <w:numPr>
          <w:ilvl w:val="0"/>
          <w:numId w:val="1"/>
        </w:numPr>
      </w:pPr>
      <w:r>
        <w:t xml:space="preserve">Expression is the host, the codon table, and transient or stable production.</w:t>
      </w:r>
    </w:p>
    <w:p>
      <w:r>
        <w:t xml:space="preserve">A registered panel already carries its chains and mutations, so Variable regions and Mutations stay off the header. They return when you start a new panel that does not yet have molecules. The numbers on Construct and Expression shift by two while those tabs are present. The Expression page itself stays marked Level 5.</w:t>
      </w:r>
    </w:p>
    <w:p>
      <w:pPr>
        <w:pStyle w:val="Heading1"/>
      </w:pPr>
      <w:r>
        <w:t xml:space="preserve">Request</w:t>
      </w:r>
    </w:p>
    <w:p>
      <w:r>
        <w:t xml:space="preserve">The left column is Requests.</w:t>
      </w:r>
    </w:p>
    <w:p>
      <w:pPr>
        <w:pStyle w:val="ListBullet"/>
        <w:numPr>
          <w:ilvl w:val="0"/>
          <w:numId w:val="1"/>
        </w:numPr>
      </w:pPr>
      <w:r>
        <w:t xml:space="preserve">New starts a draft.</w:t>
      </w:r>
    </w:p>
    <w:p>
      <w:pPr>
        <w:pStyle w:val="ListBullet"/>
        <w:numPr>
          <w:ilvl w:val="0"/>
          <w:numId w:val="1"/>
        </w:numPr>
      </w:pPr>
      <w:r>
        <w:t xml:space="preserve">Search matches a request name or a panel UID.</w:t>
      </w:r>
    </w:p>
    <w:p>
      <w:pPr>
        <w:pStyle w:val="ListBullet"/>
        <w:numPr>
          <w:ilvl w:val="0"/>
          <w:numId w:val="1"/>
        </w:numPr>
      </w:pPr>
      <w:r>
        <w:t xml:space="preserve">Drafts are panels you started here. Registered in Luma are panels already stored. The list leads with the newest. Search to reach an older panel.</w:t>
      </w:r>
    </w:p>
    <w:p>
      <w:pPr>
        <w:pStyle w:val="ListBullet"/>
        <w:numPr>
          <w:ilvl w:val="0"/>
          <w:numId w:val="1"/>
        </w:numPr>
      </w:pPr>
      <w:r>
        <w:t xml:space="preserve">Open a row to work on that panel. Delete a draft from its row when you no longer need it.</w:t>
      </w:r>
    </w:p>
    <w:p>
      <w:r>
        <w:t xml:space="preserve">Each panel, molecule, and chain has a UID. A grouped set of molecules is what receives the panel UID. Opening a registered panel reads the chains and mutations from the molecule in each well. You do not choose those again.</w:t>
      </w:r>
    </w:p>
    <w:p>
      <w:r>
        <w:t xml:space="preserve">A new request uses the design pad in the center. Place building blocks on the arms. Shape is the block and color is the sequence. A symmetric design calls for a homodimeric Fc. An asymmetric design calls for a heterodimer, with a knob on one heavy chain and a hole on the other. A Fab or crossed Fab asks which light chain to use: one light chain shared by both arms, or one light chain per arm.</w:t>
      </w:r>
    </w:p>
    <w:p>
      <w:pPr>
        <w:pStyle w:val="Heading1"/>
      </w:pPr>
      <w:r>
        <w:t xml:space="preserve">Chain</w:t>
      </w:r>
    </w:p>
    <w:p>
      <w:r>
        <w:t xml:space="preserve">Open Chain after the panel is open. Each well is its own molecule. Two wells can share a format and still carry different variable regions. That difference changes the construct count and the expression ratio, for example 1:1:1:1 or 2:2.</w:t>
      </w:r>
    </w:p>
    <w:p>
      <w:pPr>
        <w:pStyle w:val="Heading2"/>
      </w:pPr>
      <w:r>
        <w:t xml:space="preserve">Preferred sequences</w:t>
      </w:r>
    </w:p>
    <w:p>
      <w:r>
        <w:t xml:space="preserve">Preferred sequences lists every region, including regions that have only one translation. The id on each row came from the panel well, so you can see which molecule and which chain it belongs to. A shared insert uses the panel id. A chain with more than one insert adds that insert’s label.</w:t>
      </w:r>
    </w:p>
    <w:p>
      <w:pPr>
        <w:pStyle w:val="ListBullet"/>
        <w:numPr>
          <w:ilvl w:val="0"/>
          <w:numId w:val="1"/>
        </w:numPr>
      </w:pPr>
      <w:r>
        <w:t xml:space="preserve">Drag the vertical divider to widen the protein column and read the amino-acid sequence. Double-click the divider to reset it.</w:t>
      </w:r>
    </w:p>
    <w:p>
      <w:pPr>
        <w:pStyle w:val="ListBullet"/>
        <w:numPr>
          <w:ilvl w:val="0"/>
          <w:numId w:val="1"/>
        </w:numPr>
      </w:pPr>
      <w:r>
        <w:t xml:space="preserve">Each codon category shows DNA. The count opens the registered nucleotide strings for that category.</w:t>
      </w:r>
    </w:p>
    <w:p>
      <w:pPr>
        <w:pStyle w:val="ListBullet"/>
        <w:numPr>
          <w:ilvl w:val="0"/>
          <w:numId w:val="1"/>
        </w:numPr>
      </w:pPr>
      <w:r>
        <w:t xml:space="preserve">Check the category to use string 1. Check a later string, such as the 6th, to use that registration. The Preferred tag stays on the category.</w:t>
      </w:r>
    </w:p>
    <w:p>
      <w:pPr>
        <w:pStyle w:val="ListBullet"/>
        <w:numPr>
          <w:ilvl w:val="0"/>
          <w:numId w:val="1"/>
        </w:numPr>
      </w:pPr>
      <w:r>
        <w:t xml:space="preserve">A universal light chain can carry more than one characterized translation. Check the string you want for that chain.</w:t>
      </w:r>
    </w:p>
    <w:p>
      <w:r>
        <w:t xml:space="preserve">Drag the horizontal bar between the sequences and the table underneath to give one or the other more room. Double-click that bar to reset it.</w:t>
      </w:r>
    </w:p>
    <w:p>
      <w:pPr>
        <w:pStyle w:val="Heading1"/>
      </w:pPr>
      <w:r>
        <w:t xml:space="preserve">Variable regions and Mutations</w:t>
      </w:r>
    </w:p>
    <w:p>
      <w:r>
        <w:t xml:space="preserve">Use these tabs only while you are designing a panel. Choose the variable regions and the mutations before the panel is treated as registered. When you open a panel that is already in Luma, those choices are already in each well, and the tabs are hidden.</w:t>
      </w:r>
    </w:p>
    <w:p>
      <w:pPr>
        <w:pStyle w:val="Heading1"/>
      </w:pPr>
      <w:r>
        <w:t xml:space="preserve">Construct</w:t>
      </w:r>
    </w:p>
    <w:p>
      <w:r>
        <w:t xml:space="preserve">Construct asks how many constructs to express with. The buttons are the ways to split that molecule’s chains across plasmids. A four-chain molecule can be one chain on each plasmid (1×1×1×1), two chains on each of two plasmids (2×2), or all four chains on one plasmid.</w:t>
      </w:r>
    </w:p>
    <w:p>
      <w:pPr>
        <w:pStyle w:val="ListBullet"/>
        <w:numPr>
          <w:ilvl w:val="0"/>
          <w:numId w:val="1"/>
        </w:numPr>
      </w:pPr>
      <w:r>
        <w:t xml:space="preserve">The label on a button is that split. The note under the buttons says what the split means for the ratio.</w:t>
      </w:r>
    </w:p>
    <w:p>
      <w:pPr>
        <w:pStyle w:val="ListBullet"/>
        <w:numPr>
          <w:ilvl w:val="0"/>
          <w:numId w:val="1"/>
        </w:numPr>
      </w:pPr>
      <w:r>
        <w:t xml:space="preserve">A plasmid that carries more than one chain needs a multi-gene backbone. Plasmids in inventory carry one chain.</w:t>
      </w:r>
    </w:p>
    <w:p>
      <w:pPr>
        <w:pStyle w:val="ListBullet"/>
        <w:numPr>
          <w:ilvl w:val="0"/>
          <w:numId w:val="1"/>
        </w:numPr>
      </w:pPr>
      <w:r>
        <w:t xml:space="preserve">A chain that changes with the well, such as a variable region, is built once per well. A chain that is the same in every well is built once for the panel.</w:t>
      </w:r>
    </w:p>
    <w:p>
      <w:pPr>
        <w:pStyle w:val="ListBullet"/>
        <w:numPr>
          <w:ilvl w:val="0"/>
          <w:numId w:val="1"/>
        </w:numPr>
      </w:pPr>
      <w:r>
        <w:t xml:space="preserve">When the panel has more than one well, each button shows how many constructs that choice produces across the panel.</w:t>
      </w:r>
    </w:p>
    <w:p>
      <w:r>
        <w:t xml:space="preserve">The left column also designates how those constructs are kept and checked. Color covers chromogenic screening, such as blue/white lacZα, GUS, XylE, chromoproteins, the carotenoid pathway, and yeast ade2 red/white. Fluorescence covers a GFP, sfGFP, or mCherry fusion, split GFP, FACS, FlAsH/ReAsH, and an IRES or 2A-linked fluorescent protein. DNA selection covers the genetic markers (bacterial antibiotics, mammalian antibiotics, auxotrophy, DHFR, glutamine synthetase, counterselection, and antibiotic-free systems) and the checks that confirm the plasmid (colony PCR, a diagnostic digest, Sanger sequencing, and full-plasmid sequencing). Color and fluorescence screen colonies that all grow. A marker selects. The DNA checks confirm and do not select. The catalog facet named Selection marker still filters plasmids by the antibiotic already on them.</w:t>
      </w:r>
    </w:p>
    <w:p>
      <w:pPr>
        <w:pStyle w:val="Heading1"/>
      </w:pPr>
      <w:r>
        <w:t xml:space="preserve">Expression</w:t>
      </w:r>
    </w:p>
    <w:p>
      <w:r>
        <w:t xml:space="preserve">Expression is marked Level 5. Choose the protein class first. That choice narrows the expression system, and the system fixes the vector elements and the codon table used to recode each insert.</w:t>
      </w:r>
    </w:p>
    <w:p>
      <w:pPr>
        <w:pStyle w:val="Heading2"/>
      </w:pPr>
      <w:r>
        <w:t xml:space="preserve">1. Target protein class</w:t>
      </w:r>
    </w:p>
    <w:p>
      <w:pPr>
        <w:pStyle w:val="ListBullet"/>
        <w:numPr>
          <w:ilvl w:val="0"/>
          <w:numId w:val="1"/>
        </w:numPr>
      </w:pPr>
      <w:r>
        <w:t xml:space="preserve">Soluble, secreted.</w:t>
      </w:r>
    </w:p>
    <w:p>
      <w:pPr>
        <w:pStyle w:val="ListBullet"/>
        <w:numPr>
          <w:ilvl w:val="0"/>
          <w:numId w:val="1"/>
        </w:numPr>
      </w:pPr>
      <w:r>
        <w:t xml:space="preserve">Soluble, intracellular.</w:t>
      </w:r>
    </w:p>
    <w:p>
      <w:pPr>
        <w:pStyle w:val="ListBullet"/>
        <w:numPr>
          <w:ilvl w:val="0"/>
          <w:numId w:val="1"/>
        </w:numPr>
      </w:pPr>
      <w:r>
        <w:t xml:space="preserve">Membrane. A membrane protein is a poor fit for E. coli before any cassette is chosen.</w:t>
      </w:r>
    </w:p>
    <w:p>
      <w:pPr>
        <w:pStyle w:val="Heading2"/>
      </w:pPr>
      <w:r>
        <w:t xml:space="preserve">2. Expression system</w:t>
      </w:r>
    </w:p>
    <w:p>
      <w:r>
        <w:t xml:space="preserve">Choose E. coli, Yeast (Pichia or S. cerevisiae), Insect (baculovirus, Sf9), Mammalian (CHO or HEK293), or Cell-free. The highlighted column is the one that will be registered. Choosing a host sets its codon table. Mammalian offers a human table for HEK293 and a CHO table.</w:t>
      </w:r>
    </w:p>
    <w:p>
      <w:pPr>
        <w:pStyle w:val="Heading2"/>
      </w:pPr>
      <w:r>
        <w:t xml:space="preserve">3. Production scenario</w:t>
      </w:r>
    </w:p>
    <w:p>
      <w:pPr>
        <w:pStyle w:val="ListBullet"/>
        <w:numPr>
          <w:ilvl w:val="0"/>
          <w:numId w:val="1"/>
        </w:numPr>
      </w:pPr>
      <w:r>
        <w:t xml:space="preserve">Transient is many constructs, a small to moderate amount of each, and a fast turnaround. The DNA stays episomal. Expression peaks and then declines, and every batch is a new transfection.</w:t>
      </w:r>
    </w:p>
    <w:p>
      <w:pPr>
        <w:pStyle w:val="ListBullet"/>
        <w:numPr>
          <w:ilvl w:val="0"/>
          <w:numId w:val="1"/>
        </w:numPr>
      </w:pPr>
      <w:r>
        <w:t xml:space="preserve">Stable is few constructs, large scale, and a slow turnaround. The cassette is maintained in the host, and a sequence change after that point starts the line again.</w:t>
      </w:r>
    </w:p>
    <w:p>
      <w:r>
        <w:t xml:space="preserve">The page also describes a stable pool, which is selected but not cloned, and the handoff from transient material to stable material. Glycosylation, charge variants, and bispecific mispairing can shift between transient HEK material and stable CHO material, so check developability again at that point.</w:t>
      </w:r>
    </w:p>
    <w:p>
      <w:pPr>
        <w:pStyle w:val="Heading2"/>
      </w:pPr>
      <w:r>
        <w:t xml:space="preserve">4. Codon optimization</w:t>
      </w:r>
    </w:p>
    <w:p>
      <w:pPr>
        <w:pStyle w:val="ListBullet"/>
        <w:numPr>
          <w:ilvl w:val="0"/>
          <w:numId w:val="1"/>
        </w:numPr>
      </w:pPr>
      <w:r>
        <w:t xml:space="preserve">Host codon adaptation recodes each insert toward the codons this host uses most often.</w:t>
      </w:r>
    </w:p>
    <w:p>
      <w:pPr>
        <w:pStyle w:val="ListBullet"/>
        <w:numPr>
          <w:ilvl w:val="0"/>
          <w:numId w:val="1"/>
        </w:numPr>
      </w:pPr>
      <w:r>
        <w:t xml:space="preserve">Codon harmonization keeps the source organism’s rare-codon rhythm, mapped onto this host.</w:t>
      </w:r>
    </w:p>
    <w:p>
      <w:pPr>
        <w:pStyle w:val="ListBullet"/>
        <w:numPr>
          <w:ilvl w:val="0"/>
          <w:numId w:val="1"/>
        </w:numPr>
      </w:pPr>
      <w:r>
        <w:t xml:space="preserve">Rare-codon replacement changes only codons that are rare in this host and leaves the rest of the insert as it is.</w:t>
      </w:r>
    </w:p>
    <w:p>
      <w:pPr>
        <w:pStyle w:val="ListBullet"/>
        <w:numPr>
          <w:ilvl w:val="0"/>
          <w:numId w:val="1"/>
        </w:numPr>
      </w:pPr>
      <w:r>
        <w:t xml:space="preserve">Keep the current coding sequence leaves each insert as written. The host still sets the vector elements around it.</w:t>
      </w:r>
    </w:p>
    <w:p>
      <w:r>
        <w:t xml:space="preserve">The inserts at the bottom are the chains included on the construct step. If that list is empty, include a chain on Level 1. Its inserts are what this codon table recodes. Vector elements stay on the construct. The host sets the promoter, the translation start, the termination, the secretion signal, and the selection around the recoded insert.</w:t>
      </w:r>
    </w:p>
    <w:p>
      <w:pPr>
        <w:pStyle w:val="Heading1"/>
      </w:pPr>
      <w:r>
        <w:t xml:space="preserve">The Viewer</w:t>
      </w:r>
    </w:p>
    <w:p>
      <w:r>
        <w:t xml:space="preserve">The Viewer stays on the right through the antibody steps. Its tabs are Info, Backbone, Text, and Saved.</w:t>
      </w:r>
    </w:p>
    <w:p>
      <w:pPr>
        <w:pStyle w:val="Heading2"/>
      </w:pPr>
      <w:r>
        <w:t xml:space="preserve">Info</w:t>
      </w:r>
    </w:p>
    <w:p>
      <w:r>
        <w:t xml:space="preserve">Info shows the current selection and anything the panel asks you to check. When there is work to hand off, three actions sit at the bottom.</w:t>
      </w:r>
    </w:p>
    <w:p>
      <w:pPr>
        <w:pStyle w:val="ListBullet"/>
        <w:numPr>
          <w:ilvl w:val="0"/>
          <w:numId w:val="1"/>
        </w:numPr>
      </w:pPr>
      <w:r>
        <w:t xml:space="preserve">Register constructs appears on the Construct tab after you choose how many constructs to express with and that choice produces constructs. It stays off Request, Chain, Variable regions, Mutations, and Expression. On Construct it stays disabled until a target class, a host, a codon table, a codon method, and transient or stable are all set. Hover the button to see what is still missing. Registering the same constructs with the same choice again leaves the button on Registered.</w:t>
      </w:r>
    </w:p>
    <w:p>
      <w:pPr>
        <w:pStyle w:val="ListBullet"/>
        <w:numPr>
          <w:ilvl w:val="0"/>
          <w:numId w:val="1"/>
        </w:numPr>
      </w:pPr>
      <w:r>
        <w:t xml:space="preserve">Copy build list puts a plain-text summary on the clipboard.</w:t>
      </w:r>
    </w:p>
    <w:p>
      <w:pPr>
        <w:pStyle w:val="ListBullet"/>
        <w:numPr>
          <w:ilvl w:val="0"/>
          <w:numId w:val="1"/>
        </w:numPr>
      </w:pPr>
      <w:r>
        <w:t xml:space="preserve">Publish protein Report downloads a PDF recipe for the panel. The file name starts with protein-recipe and the panel id.</w:t>
      </w:r>
    </w:p>
    <w:p>
      <w:r>
        <w:t xml:space="preserve">Each registration is numbered EXP-001, EXP-002, and so on. Antibody registrations are kept apart from Protein registrations, so each mode numbers its own list.</w:t>
      </w:r>
    </w:p>
    <w:p>
      <w:pPr>
        <w:pStyle w:val="Heading2"/>
      </w:pPr>
      <w:r>
        <w:t xml:space="preserve">Backbone and Saved</w:t>
      </w:r>
    </w:p>
    <w:p>
      <w:r>
        <w:t xml:space="preserve">Backbone lists destination backbones for the constructs in play. Rule one out with the × on its chip, or restore it from Ruled out on Info. Saved keeps backbone presets you want to reuse.</w:t>
      </w:r>
    </w:p>
    <w:p>
      <w:pPr>
        <w:pStyle w:val="Heading2"/>
      </w:pPr>
      <w:r>
        <w:t xml:space="preserve">Text and GaaL</w:t>
      </w:r>
    </w:p>
    <w:p>
      <w:r>
        <w:t xml:space="preserve">Text is the handoff to assembly. It counts the builds, the variable regions, and the assemblies those parts become.</w:t>
      </w:r>
    </w:p>
    <w:p>
      <w:pPr>
        <w:pStyle w:val="ListBullet"/>
        <w:numPr>
          <w:ilvl w:val="0"/>
          <w:numId w:val="1"/>
        </w:numPr>
      </w:pPr>
      <w:r>
        <w:t xml:space="preserve">Copy GaaL job copies the assembly as JSON. The library is GaaL and the job is a golden-gate assembly.</w:t>
      </w:r>
    </w:p>
    <w:p>
      <w:pPr>
        <w:pStyle w:val="ListBullet"/>
        <w:numPr>
          <w:ilvl w:val="0"/>
          <w:numId w:val="1"/>
        </w:numPr>
      </w:pPr>
      <w:r>
        <w:t xml:space="preserve">Copy as CSV copies the same rows for a spreadsheet. The columns are build, slot, domain, part, backbone, enzyme, overhangs, product, and selection.</w:t>
      </w:r>
    </w:p>
    <w:p>
      <w:r>
        <w:t xml:space="preserve">The button reads Copied for a moment. Point the job at your Geneious Prime library to run the builds. The copied text is the assembly spec. The Geneious sequence viewer itself runs inside Geneious Prime.</w:t>
      </w:r>
    </w:p>
    <w:p>
      <w:pPr>
        <w:pStyle w:val="Heading1"/>
      </w:pPr>
      <w:r>
        <w:t xml:space="preserve">A short path</w:t>
      </w:r>
    </w:p>
    <w:p>
      <w:pPr>
        <w:pStyle w:val="ListBullet"/>
        <w:numPr>
          <w:ilvl w:val="0"/>
          <w:numId w:val="1"/>
        </w:numPr>
      </w:pPr>
      <w:r>
        <w:t xml:space="preserve">Press Antibody.</w:t>
      </w:r>
    </w:p>
    <w:p>
      <w:pPr>
        <w:pStyle w:val="ListBullet"/>
        <w:numPr>
          <w:ilvl w:val="0"/>
          <w:numId w:val="1"/>
        </w:numPr>
      </w:pPr>
      <w:r>
        <w:t xml:space="preserve">Open a registered panel, or press New and design the molecule.</w:t>
      </w:r>
    </w:p>
    <w:p>
      <w:pPr>
        <w:pStyle w:val="ListBullet"/>
        <w:numPr>
          <w:ilvl w:val="0"/>
          <w:numId w:val="1"/>
        </w:numPr>
      </w:pPr>
      <w:r>
        <w:t xml:space="preserve">On Chain, check the nucleotide string for each region.</w:t>
      </w:r>
    </w:p>
    <w:p>
      <w:pPr>
        <w:pStyle w:val="ListBullet"/>
        <w:numPr>
          <w:ilvl w:val="0"/>
          <w:numId w:val="1"/>
        </w:numPr>
      </w:pPr>
      <w:r>
        <w:t xml:space="preserve">On Construct, choose how many constructs to express with, then register them.</w:t>
      </w:r>
    </w:p>
    <w:p>
      <w:pPr>
        <w:pStyle w:val="ListBullet"/>
        <w:numPr>
          <w:ilvl w:val="0"/>
          <w:numId w:val="1"/>
        </w:numPr>
      </w:pPr>
      <w:r>
        <w:t xml:space="preserve">On Expression, set the class, the host, transient or stable, and the codon method.</w:t>
      </w:r>
    </w:p>
    <w:p>
      <w:pPr>
        <w:pStyle w:val="ListBullet"/>
        <w:numPr>
          <w:ilvl w:val="0"/>
          <w:numId w:val="1"/>
        </w:numPr>
      </w:pPr>
      <w:r>
        <w:t xml:space="preserve">In the Viewer, publish the recipe or copy the GaaL job.</w:t>
      </w:r>
    </w:p>
    <w:sectPr>
      <w:pgSz w:w="12240" w:h="15840"/>
      <w:pgMar w:top="1134" w:right="1134" w:bottom="1134" w:left="1134"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Calibri" w:hAnsi="Calibri"/>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qFormat/>
  </w:style>
  <w:style w:type="paragraph" w:styleId="Title">
    <w:name w:val="Title"/>
    <w:basedOn w:val="Normal"/>
    <w:qFormat/>
    <w:pPr>
      <w:spacing w:before="0" w:after="80"/>
    </w:pPr>
    <w:rPr>
      <w:b/>
      <w:sz w:val="40"/>
      <w:szCs w:val="40"/>
      <w:color w:val="1F4E79"/>
    </w:rPr>
  </w:style>
  <w:style w:type="paragraph" w:styleId="Subtitle">
    <w:name w:val="Subtitle"/>
    <w:basedOn w:val="Normal"/>
    <w:pPr>
      <w:spacing w:after="280"/>
    </w:pPr>
    <w:rPr>
      <w:i/>
      <w:color w:val="5B6770"/>
      <w:sz w:val="24"/>
      <w:szCs w:val="24"/>
    </w:rPr>
  </w:style>
  <w:style w:type="paragraph" w:styleId="Heading1">
    <w:name w:val="heading 1"/>
    <w:basedOn w:val="Normal"/>
    <w:uiPriority w:val="9"/>
    <w:qFormat/>
    <w:pPr>
      <w:keepNext/>
      <w:spacing w:before="360" w:after="80"/>
    </w:pPr>
    <w:rPr>
      <w:b/>
      <w:sz w:val="32"/>
      <w:szCs w:val="32"/>
      <w:color w:val="1F4E79"/>
    </w:rPr>
  </w:style>
  <w:style w:type="paragraph" w:styleId="Heading2">
    <w:name w:val="heading 2"/>
    <w:basedOn w:val="Normal"/>
    <w:uiPriority w:val="9"/>
    <w:qFormat/>
    <w:pPr>
      <w:keepNext/>
      <w:spacing w:before="240" w:after="40"/>
    </w:pPr>
    <w:rPr>
      <w:b/>
      <w:sz w:val="26"/>
      <w:szCs w:val="26"/>
      <w:color w:val="2E75B6"/>
    </w:rPr>
  </w:style>
  <w:style w:type="paragraph" w:styleId="ListBullet">
    <w:name w:val="List Bullet"/>
    <w:basedOn w:val="Normal"/>
    <w:pPr>
      <w:ind w:left="720" w:hanging="360"/>
      <w:spacing w:after="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dc:title>Antibody user guide</dc:title>
  <dc:subject>Protein Chain Workbench, version 3</dc:subject>
  <dc:creator>Protein Chain Workbench</dc:creator>
  <cp:lastModifiedBy>Protein Chain Workbench</cp:lastModifiedBy>
</cp:coreProperties>
</file>