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400" w:after="360"/>
      </w:pPr>
      <w:r>
        <w:rPr>
          <w:b/>
          <w:sz w:val="28"/>
        </w:rPr>
        <w:t>Arquitectura de software de Minuta Digital</w:t>
      </w:r>
    </w:p>
    <w:p>
      <w:pPr>
        <w:pStyle w:val="Subtitle"/>
      </w:pPr>
      <w:r>
        <w:t xml:space="preserve">Aplicación web para la gestión de conjuntos residenciales</w:t>
      </w:r>
    </w:p>
    <w:p>
      <w:pPr>
        <w:pStyle w:val="Normal"/>
      </w:pPr>
      <w:r>
        <w:t xml:space="preserve">Informe académico: patrones, arquitectura, persistencia, seguridad y calidad</w:t>
      </w:r>
    </w:p>
    <w:p>
      <w:pPr>
        <w:pStyle w:val="Normal"/>
      </w:pPr>
      <w:r>
        <w:t xml:space="preserve"/>
      </w:r>
    </w:p>
    <w:p>
      <w:pPr>
        <w:pStyle w:val="Normal"/>
      </w:pPr>
      <w:r>
        <w:t xml:space="preserve"/>
      </w:r>
    </w:p>
    <w:p>
      <w:pPr>
        <w:pStyle w:val="Normal"/>
      </w:pPr>
      <w:r>
        <w:t xml:space="preserve">Estudiante(s): ______________________________________________</w:t>
      </w:r>
    </w:p>
    <w:p>
      <w:pPr>
        <w:pStyle w:val="Normal"/>
      </w:pPr>
      <w:r>
        <w:t xml:space="preserve">Integrantes del equipo (tres estudiantes):</w:t>
      </w:r>
    </w:p>
    <w:p>
      <w:pPr>
        <w:pStyle w:val="Normal"/>
      </w:pPr>
      <w:r>
        <w:t xml:space="preserve">1. ______________________________________________</w:t>
      </w:r>
    </w:p>
    <w:p>
      <w:pPr>
        <w:pStyle w:val="Normal"/>
      </w:pPr>
      <w:r>
        <w:t xml:space="preserve">2. ______________________________________________</w:t>
      </w:r>
    </w:p>
    <w:p>
      <w:pPr>
        <w:pStyle w:val="Normal"/>
      </w:pPr>
      <w:r>
        <w:t xml:space="preserve">3. ______________________________________________</w:t>
      </w:r>
    </w:p>
    <w:p>
      <w:pPr>
        <w:pStyle w:val="Normal"/>
      </w:pPr>
      <w:r>
        <w:t xml:space="preserve">Institución: ______________________________________________</w:t>
      </w:r>
    </w:p>
    <w:p>
      <w:pPr>
        <w:pStyle w:val="Normal"/>
      </w:pPr>
      <w:r>
        <w:t xml:space="preserve">Programa / asignatura: ______________________________________________</w:t>
      </w:r>
    </w:p>
    <w:p>
      <w:pPr>
        <w:pStyle w:val="Normal"/>
      </w:pPr>
      <w:r>
        <w:t xml:space="preserve">Docente: ______________________________________________</w:t>
      </w:r>
    </w:p>
    <w:p>
      <w:pPr>
        <w:pStyle w:val="Normal"/>
      </w:pPr>
      <w:r>
        <w:t xml:space="preserve">Ciudad: ______________________________________________</w:t>
      </w:r>
    </w:p>
    <w:p>
      <w:pPr>
        <w:pStyle w:val="Normal"/>
      </w:pPr>
      <w:r>
        <w:t xml:space="preserve">Fecha de entrega: ______________________________________________</w:t>
      </w:r>
    </w:p>
    <w:p>
      <w:r>
        <w:br w:type="page"/>
      </w:r>
    </w:p>
    <w:p>
      <w:pPr>
        <w:pStyle w:val="Heading1"/>
      </w:pPr>
      <w:r>
        <w:t xml:space="preserve">Resumen</w:t>
      </w:r>
    </w:p>
    <w:p>
      <w:pPr>
        <w:pStyle w:val="Normal"/>
      </w:pPr>
      <w:r>
        <w:t xml:space="preserve">Este informe describe la arquitectura de Minuta Digital, una aplicación web para administrar operaciones de conjuntos residenciales. La solución separa una interfaz desarrollada con React y TypeScript de una API construida con NestJS, también en TypeScript. El backend organiza funcionalidades en módulos y delega reglas de negocio de controladores a servicios mediante inyección de dependencias; los datos relacionales se modelan con Prisma ORM sobre PostgreSQL. El modelo incorpora organizaciones, conjuntos, usuarios, roles, permisos, residentes, apartamentos, visitantes, correspondencia, amenidades, reservas y PQRS. Se analizan los patrones y estilos visibles en el código: arquitectura cliente-servidor, modularidad por dominio, capas controlador-servicio-acceso a datos, DTO, inyección de dependencias y autorización basada en roles y permisos. Se explica el alcance multi-tenant, los flujos CRUD e identidad, y la estrategia de pruebas automatizadas existente. El repositorio incluye pruebas unitarias del backend para autenticación, usuarios y otros servicios, además de una prueba unitaria de transformación de datos en el frontend. Este documento caracteriza el código revisado y no presenta una ejecución nueva de la suite ni una auditoría de seguridad; por ello identifica recomendaciones de validación futura.</w:t>
      </w:r>
    </w:p>
    <w:p>
      <w:pPr>
        <w:pStyle w:val="Normal"/>
      </w:pPr>
      <w:r>
        <w:rPr>
          <w:b/>
        </w:rPr>
        <w:t xml:space="preserve">Palabras clave: </w:t>
      </w:r>
      <w:r>
        <w:t xml:space="preserve">arquitectura de software, NestJS, React, DTO, inyección de dependencias, PostgreSQL, multi-tenant, RBAC.</w:t>
      </w:r>
    </w:p>
    <w:p>
      <w:r>
        <w:br w:type="page"/>
      </w:r>
    </w:p>
    <w:p>
      <w:pPr>
        <w:pStyle w:val="Heading1"/>
      </w:pPr>
      <w:r>
        <w:t xml:space="preserve">Arquitectura de software de Minuta Digital</w:t>
      </w:r>
    </w:p>
    <w:p>
      <w:pPr>
        <w:pStyle w:val="Heading2"/>
      </w:pPr>
      <w:r>
        <w:t xml:space="preserve">Objetivo</w:t>
      </w:r>
    </w:p>
    <w:p>
      <w:pPr>
        <w:pStyle w:val="Normal"/>
      </w:pPr>
      <w:r>
        <w:t xml:space="preserve">Analizar cómo Minuta Digital aplica un framework y estilos arquitectónicos que estructuran el desarrollo, el acceso a datos y la seguridad de una aplicación de gestión residencial. Se describen los patrones observables en el código, la conexión con PostgreSQL, las operaciones CRUD y los controles de calidad implementados.</w:t>
      </w:r>
    </w:p>
    <w:p>
      <w:pPr>
        <w:pStyle w:val="Heading2"/>
      </w:pPr>
      <w:r>
        <w:t xml:space="preserve">Introducción</w:t>
      </w:r>
    </w:p>
    <w:p>
      <w:pPr>
        <w:pStyle w:val="Normal"/>
      </w:pPr>
      <w:r>
        <w:t xml:space="preserve">Una aplicación de gestión residencial debe coordinar datos que pertenecen a organizaciones y conjuntos distintos, así como atender perfiles con responsabilidades diferentes. Una arquitectura explícita ayuda a separar la presentación, la lógica de aplicación y la persistencia, y facilita asignar responsabilidades y probar reglas de negocio. En Minuta Digital se observa una aplicación cliente-servidor: el frontend invoca endpoints HTTP de una API y la API consulta o modifica una base de datos relacional.</w:t>
      </w:r>
    </w:p>
    <w:p>
      <w:pPr>
        <w:pStyle w:val="Normal"/>
      </w:pPr>
      <w:r>
        <w:t xml:space="preserve">El análisis se realizó mediante inspección estática de los repositorios disponibles en el equipo: Minuta-Digital-Frontend y Minuta-Digital-Back-end. Se revisaron estructura de carpetas, rutas, servicios, controladores, DTO, módulos, esquema Prisma y archivos de prueba. La descripción se limita a elementos observables en el código; no presupone despliegue, datos productivos, resultados de ejecución de pruebas o cumplimiento de controles que no hayan sido verificados.</w:t>
      </w:r>
    </w:p>
    <w:p>
      <w:pPr>
        <w:pStyle w:val="Heading1"/>
      </w:pPr>
      <w:r>
        <w:t xml:space="preserve">Desarrollo de la actividad</w:t>
      </w:r>
    </w:p>
    <w:p>
      <w:pPr>
        <w:pStyle w:val="Heading2"/>
      </w:pPr>
      <w:r>
        <w:t xml:space="preserve">1. Contexto y alcance funcional</w:t>
      </w:r>
    </w:p>
    <w:p>
      <w:pPr>
        <w:pStyle w:val="Normal"/>
      </w:pPr>
      <w:r>
        <w:t xml:space="preserve">Minuta Digital atiende procesos de operación residencial. El frontend contiene vistas para panel de control, usuarios, visitantes, apartamentos, organizaciones y conjuntos residenciales; también incorpora inicio de sesión, activación de cuenta, restablecimiento de contraseña, selección de contexto, edición de usuarios y perfil propio. La API expone dominios adicionales como residentes, correspondencia, amenidades, PQRS, mercado interno, notificaciones, almacenamiento y webhooks.</w:t>
      </w:r>
    </w:p>
    <w:p>
      <w:pPr>
        <w:pStyle w:val="Normal"/>
      </w:pPr>
      <w:r>
        <w:t xml:space="preserve">En el caso CRUD, los endpoints y servicios de usuarios muestran las operaciones de consulta, creación/invitación, actualización y eliminación o desactivación. El modelo de usuario guarda estado, rol, organización, conjunto y datos de perfil. La invitación crea un usuario pendiente y un token de activación; los usuarios ya activos se desactivan para conservar relaciones, mientras que los pendientes pueden eliminarse físicamente. Visitantes implementa lectura, registro de ingreso y registro de salida. Los demás módulos aportan operaciones propias de su dominio; su cobertura funcional debe verificarse endpoint por endpoint antes de afirmar que todos ofrecen CRUD completo.</w:t>
      </w:r>
    </w:p>
    <w:p>
      <w:pPr>
        <w:pStyle w:val="Heading2"/>
      </w:pPr>
      <w:r>
        <w:t xml:space="preserve">2. Frameworks y estilo arquitectónico</w:t>
      </w:r>
    </w:p>
    <w:p>
      <w:pPr>
        <w:pStyle w:val="Heading3"/>
      </w:pPr>
      <w:r>
        <w:t xml:space="preserve">Frontend: React y TypeScript</w:t>
      </w:r>
    </w:p>
    <w:p>
      <w:pPr>
        <w:pStyle w:val="Normal"/>
      </w:pPr>
      <w:r>
        <w:t xml:space="preserve">React organiza la interfaz en componentes y páginas, siguiendo el modelo de composición descrito en su documentación oficial (React, s. f.). React Router define rutas públicas y protegidas. MainLayout proporciona la estructura común, mientras las páginas de dominio mantienen los flujos de pantalla. Los módulos en src/services aíslan las llamadas Axios a la API; los tipos TypeScript describen contratos de usuario, visitante, residente y apartamento. La interfaz consume recursos de almacenamiento para imágenes y administra el estado de sesión mediante el contexto de autenticación. Esta separación reduce el acoplamiento entre componentes visuales y detalles HTTP.</w:t>
      </w:r>
    </w:p>
    <w:p>
      <w:pPr>
        <w:pStyle w:val="Heading3"/>
      </w:pPr>
      <w:r>
        <w:t xml:space="preserve">Backend: NestJS</w:t>
      </w:r>
    </w:p>
    <w:p>
      <w:pPr>
        <w:pStyle w:val="Normal"/>
      </w:pPr>
      <w:r>
        <w:t xml:space="preserve">NestJS estructura la API en módulos de dominio, como UsersModule, AuthModule, VisitorsModule, ApartmentsModule, PqrsModule y ResidentialComplexesModule. En NestJS, los controladores gestionan solicitudes y delegan la lógica a providers o servicios; los módulos agrupan capacidades relacionadas y declaran sus dependencias (NestJS, s. f.-a, s. f.-b). El código sigue ese estilo: UsersController valida el punto de entrada y UsersService contiene reglas de consulta, jerarquía, persistencia y perfil. PrismaModule provee el acceso a datos.</w:t>
      </w:r>
    </w:p>
    <w:p>
      <w:pPr>
        <w:pStyle w:val="Heading3"/>
      </w:pPr>
      <w:r>
        <w:t xml:space="preserve">Estilo por capas y cliente-servidor</w:t>
      </w:r>
    </w:p>
    <w:p>
      <w:pPr>
        <w:pStyle w:val="Normal"/>
      </w:pPr>
      <w:r>
        <w:t xml:space="preserve">La solución combina una arquitectura cliente-servidor con una separación lógica en capas. La interfaz es una aplicación cliente independiente; la API concentra autenticación, autorización y reglas; Prisma abstrae las consultas y PostgreSQL persiste las entidades. No se describe como una arquitectura de microservicios: el backend observado se despliega como una aplicación NestJS modular, es decir, como un monolito modular.</w:t>
      </w:r>
    </w:p>
    <w:p>
      <w:pPr>
        <w:pStyle w:val="Caption"/>
      </w:pPr>
      <w:r>
        <w:t xml:space="preserve">Figura 1</w:t>
      </w:r>
    </w:p>
    <w:p>
      <w:pPr>
        <w:pStyle w:val="Caption"/>
      </w:pPr>
      <w:r>
        <w:t xml:space="preserve">Vista lógica de la arquitectura</w:t>
      </w:r>
    </w:p>
    <w:tbl>
      <w:tblPr>
        <w:tblW w:w="9360" w:type="dxa"/>
        <w:tblBorders>
          <w:top w:val="single" w:sz="6" w:color="708090"/>
          <w:left w:val="single" w:sz="6" w:color="708090"/>
          <w:bottom w:val="single" w:sz="6" w:color="708090"/>
          <w:right w:val="single" w:sz="6" w:color="708090"/>
          <w:insideH w:val="single" w:sz="4" w:color="AAB5C3"/>
          <w:insideV w:val="single" w:sz="4" w:color="AAB5C3"/>
        </w:tblBorders>
      </w:tblPr>
      <w:tr>
        <w:tc>
          <w:tcPr>
            <w:shd w:fill="DCE6F1"/>
            <w:tcMar>
              <w:top w:w="100" w:type="dxa"/>
              <w:start w:w="120" w:type="dxa"/>
              <w:bottom w:w="100" w:type="dxa"/>
              <w:end w:w="120" w:type="dxa"/>
            </w:tcMar>
          </w:tcPr>
          <w:p>
            <w:pPr>
              <w:pStyle w:val="Normal"/>
            </w:pPr>
            <w:r>
              <w:rPr>
                <w:b/>
              </w:rPr>
              <w:t xml:space="preserve">Capa de presentación</w:t>
            </w:r>
          </w:p>
        </w:tc>
        <w:tc>
          <w:tcPr>
            <w:shd w:fill="F7F9FC"/>
            <w:tcMar>
              <w:top w:w="100" w:type="dxa"/>
              <w:start w:w="120" w:type="dxa"/>
              <w:bottom w:w="100" w:type="dxa"/>
              <w:end w:w="120" w:type="dxa"/>
            </w:tcMar>
          </w:tcPr>
          <w:p>
            <w:pPr>
              <w:pStyle w:val="Normal"/>
            </w:pPr>
            <w:r>
              <w:t xml:space="preserve">React + TypeScript · React Router · vistas y componentes</w:t>
            </w:r>
          </w:p>
        </w:tc>
      </w:tr>
      <w:tr>
        <w:tc>
          <w:tcPr>
            <w:shd w:fill="DCE6F1"/>
            <w:tcMar>
              <w:top w:w="100" w:type="dxa"/>
              <w:start w:w="120" w:type="dxa"/>
              <w:bottom w:w="100" w:type="dxa"/>
              <w:end w:w="120" w:type="dxa"/>
            </w:tcMar>
          </w:tcPr>
          <w:p>
            <w:pPr>
              <w:pStyle w:val="Normal"/>
            </w:pPr>
            <w:r>
              <w:rPr>
                <w:b/>
              </w:rPr>
              <w:t xml:space="preserve">Interfaz HTTP</w:t>
            </w:r>
          </w:p>
        </w:tc>
        <w:tc>
          <w:tcPr>
            <w:shd w:fill="F7F9FC"/>
            <w:tcMar>
              <w:top w:w="100" w:type="dxa"/>
              <w:start w:w="120" w:type="dxa"/>
              <w:bottom w:w="100" w:type="dxa"/>
              <w:end w:w="120" w:type="dxa"/>
            </w:tcMar>
          </w:tcPr>
          <w:p>
            <w:pPr>
              <w:pStyle w:val="Normal"/>
            </w:pPr>
            <w:r>
              <w:t xml:space="preserve">Axios · JSON · token Bearer JWT</w:t>
            </w:r>
          </w:p>
        </w:tc>
      </w:tr>
      <w:tr>
        <w:tc>
          <w:tcPr>
            <w:shd w:fill="DCE6F1"/>
            <w:tcMar>
              <w:top w:w="100" w:type="dxa"/>
              <w:start w:w="120" w:type="dxa"/>
              <w:bottom w:w="100" w:type="dxa"/>
              <w:end w:w="120" w:type="dxa"/>
            </w:tcMar>
          </w:tcPr>
          <w:p>
            <w:pPr>
              <w:pStyle w:val="Normal"/>
            </w:pPr>
            <w:r>
              <w:rPr>
                <w:b/>
              </w:rPr>
              <w:t xml:space="preserve">API / aplicación</w:t>
            </w:r>
          </w:p>
        </w:tc>
        <w:tc>
          <w:tcPr>
            <w:shd w:fill="F7F9FC"/>
            <w:tcMar>
              <w:top w:w="100" w:type="dxa"/>
              <w:start w:w="120" w:type="dxa"/>
              <w:bottom w:w="100" w:type="dxa"/>
              <w:end w:w="120" w:type="dxa"/>
            </w:tcMar>
          </w:tcPr>
          <w:p>
            <w:pPr>
              <w:pStyle w:val="Normal"/>
            </w:pPr>
            <w:r>
              <w:t xml:space="preserve">NestJS · módulos · controladores · DTO · guards</w:t>
            </w:r>
          </w:p>
        </w:tc>
      </w:tr>
      <w:tr>
        <w:tc>
          <w:tcPr>
            <w:shd w:fill="DCE6F1"/>
            <w:tcMar>
              <w:top w:w="100" w:type="dxa"/>
              <w:start w:w="120" w:type="dxa"/>
              <w:bottom w:w="100" w:type="dxa"/>
              <w:end w:w="120" w:type="dxa"/>
            </w:tcMar>
          </w:tcPr>
          <w:p>
            <w:pPr>
              <w:pStyle w:val="Normal"/>
            </w:pPr>
            <w:r>
              <w:rPr>
                <w:b/>
              </w:rPr>
              <w:t xml:space="preserve">Reglas de dominio</w:t>
            </w:r>
          </w:p>
        </w:tc>
        <w:tc>
          <w:tcPr>
            <w:shd w:fill="F7F9FC"/>
            <w:tcMar>
              <w:top w:w="100" w:type="dxa"/>
              <w:start w:w="120" w:type="dxa"/>
              <w:bottom w:w="100" w:type="dxa"/>
              <w:end w:w="120" w:type="dxa"/>
            </w:tcMar>
          </w:tcPr>
          <w:p>
            <w:pPr>
              <w:pStyle w:val="Normal"/>
            </w:pPr>
            <w:r>
              <w:t xml:space="preserve">Servicios: usuarios, autenticación, visitantes, residentes y más</w:t>
            </w:r>
          </w:p>
        </w:tc>
      </w:tr>
      <w:tr>
        <w:tc>
          <w:tcPr>
            <w:shd w:fill="DCE6F1"/>
            <w:tcMar>
              <w:top w:w="100" w:type="dxa"/>
              <w:start w:w="120" w:type="dxa"/>
              <w:bottom w:w="100" w:type="dxa"/>
              <w:end w:w="120" w:type="dxa"/>
            </w:tcMar>
          </w:tcPr>
          <w:p>
            <w:pPr>
              <w:pStyle w:val="Normal"/>
            </w:pPr>
            <w:r>
              <w:rPr>
                <w:b/>
              </w:rPr>
              <w:t xml:space="preserve">Acceso a datos</w:t>
            </w:r>
          </w:p>
        </w:tc>
        <w:tc>
          <w:tcPr>
            <w:shd w:fill="F7F9FC"/>
            <w:tcMar>
              <w:top w:w="100" w:type="dxa"/>
              <w:start w:w="120" w:type="dxa"/>
              <w:bottom w:w="100" w:type="dxa"/>
              <w:end w:w="120" w:type="dxa"/>
            </w:tcMar>
          </w:tcPr>
          <w:p>
            <w:pPr>
              <w:pStyle w:val="Normal"/>
            </w:pPr>
            <w:r>
              <w:t xml:space="preserve">Prisma Client · PrismaService · transacciones</w:t>
            </w:r>
          </w:p>
        </w:tc>
      </w:tr>
      <w:tr>
        <w:tc>
          <w:tcPr>
            <w:shd w:fill="DCE6F1"/>
            <w:tcMar>
              <w:top w:w="100" w:type="dxa"/>
              <w:start w:w="120" w:type="dxa"/>
              <w:bottom w:w="100" w:type="dxa"/>
              <w:end w:w="120" w:type="dxa"/>
            </w:tcMar>
          </w:tcPr>
          <w:p>
            <w:pPr>
              <w:pStyle w:val="Normal"/>
            </w:pPr>
            <w:r>
              <w:rPr>
                <w:b/>
              </w:rPr>
              <w:t xml:space="preserve">Persistencia</w:t>
            </w:r>
          </w:p>
        </w:tc>
        <w:tc>
          <w:tcPr>
            <w:shd w:fill="F7F9FC"/>
            <w:tcMar>
              <w:top w:w="100" w:type="dxa"/>
              <w:start w:w="120" w:type="dxa"/>
              <w:bottom w:w="100" w:type="dxa"/>
              <w:end w:w="120" w:type="dxa"/>
            </w:tcMar>
          </w:tcPr>
          <w:p>
            <w:pPr>
              <w:pStyle w:val="Normal"/>
            </w:pPr>
            <w:r>
              <w:t xml:space="preserve">PostgreSQL · esquema relacional compartido</w:t>
            </w:r>
          </w:p>
        </w:tc>
      </w:tr>
    </w:tbl>
    <w:p>
      <w:pPr>
        <w:pStyle w:val="Normal"/>
      </w:pPr>
      <w:r>
        <w:t xml:space="preserve">Flujo de solicitud: navegador → interfaz React → API NestJS → servicio de dominio → Prisma → PostgreSQL; la respuesta recorre las capas de regreso. El diagrama representa responsabilidades lógicas identificadas en el código y no infraestructura de despliegue.</w:t>
      </w:r>
    </w:p>
    <w:p>
      <w:pPr>
        <w:pStyle w:val="Heading2"/>
      </w:pPr>
      <w:r>
        <w:t xml:space="preserve">3. Patrones y mecanismos de diseño</w:t>
      </w:r>
    </w:p>
    <w:p>
      <w:pPr>
        <w:pStyle w:val="Heading3"/>
      </w:pPr>
      <w:r>
        <w:t xml:space="preserve">Controlador–servicio–acceso a datos</w:t>
      </w:r>
    </w:p>
    <w:p>
      <w:pPr>
        <w:pStyle w:val="Normal"/>
      </w:pPr>
      <w:r>
        <w:t xml:space="preserve">UsersController expone operaciones HTTP y recibe parámetros, el usuario autenticado y los DTO. El controlador delega en UsersService, que coordina las reglas y consulta PrismaService. Esta separación se alinea con el patrón de capas de presentación, dominio/aplicación y persistencia. PrismaService centraliza el cliente de base de datos; cumple el papel de una abstracción de acceso a datos, aunque no se observa un repositorio específico escrito a mano para cada entidad.</w:t>
      </w:r>
    </w:p>
    <w:p>
      <w:pPr>
        <w:pStyle w:val="Heading3"/>
      </w:pPr>
      <w:r>
        <w:t xml:space="preserve">DTO y validación de entrada</w:t>
      </w:r>
    </w:p>
    <w:p>
      <w:pPr>
        <w:pStyle w:val="Normal"/>
      </w:pPr>
      <w:r>
        <w:t xml:space="preserve">InviteUserDto, UpdateUserDto y UpdateOwnProfileDto definen los datos esperados por las operaciones. Decoradores de class-validator delimitan formatos, UUID, correo, teléfono y campos opcionales. main.ts configura un ValidationPipe global con whitelist, rechazo de propiedades no permitidas y conversión de tipos. El DTO funciona como contrato de entrada entre HTTP y aplicación, evitando acoplar el cuerpo recibido al modelo de persistencia.</w:t>
      </w:r>
    </w:p>
    <w:p>
      <w:pPr>
        <w:pStyle w:val="Heading3"/>
      </w:pPr>
      <w:r>
        <w:t xml:space="preserve">Inyección de dependencias</w:t>
      </w:r>
    </w:p>
    <w:p>
      <w:pPr>
        <w:pStyle w:val="Normal"/>
      </w:pPr>
      <w:r>
        <w:t xml:space="preserve">NestJS construye servicios como UsersService con PrismaService, MailService y UserHierarchyService inyectados. Esto separa la política de negocio de los detalles concretos y permite reemplazar dependencias por mocks en pruebas unitarias. La documentación de NestJS describe providers como clases inyectables para organizar estas relaciones (NestJS, s. f.-a). La separación entre presentación, lógica de dominio y persistencia también se relaciona con los patrones de arquitectura empresarial descritos por Fowler (2002).</w:t>
      </w:r>
    </w:p>
    <w:p>
      <w:pPr>
        <w:pStyle w:val="Heading3"/>
      </w:pPr>
      <w:r>
        <w:t xml:space="preserve">Módulos por dominio</w:t>
      </w:r>
    </w:p>
    <w:p>
      <w:pPr>
        <w:pStyle w:val="Normal"/>
      </w:pPr>
      <w:r>
        <w:t xml:space="preserve">Los módulos de NestJS agrupan controladores, servicios y dependencias de una capacidad funcional. La documentación del framework recomienda módulos de funcionalidad para mantener límites entre dominios (NestJS, s. f.-b). En la aplicación, usuarios, autenticación, apartamentos, visitantes y PQRS cuentan con módulos separados; AppModule compone los módulos de la aplicación.</w:t>
      </w:r>
    </w:p>
    <w:p>
      <w:pPr>
        <w:pStyle w:val="Heading3"/>
      </w:pPr>
      <w:r>
        <w:t xml:space="preserve">Matriz de patrones observados</w:t>
      </w:r>
    </w:p>
    <w:tbl>
      <w:tblPr>
        <w:tblW w:w="9360" w:type="dxa"/>
        <w:tblBorders>
          <w:top w:val="single" w:sz="6" w:color="708090"/>
          <w:left w:val="single" w:sz="6" w:color="708090"/>
          <w:bottom w:val="single" w:sz="6" w:color="708090"/>
          <w:right w:val="single" w:sz="6" w:color="708090"/>
          <w:insideH w:val="single" w:sz="4" w:color="AAB5C3"/>
          <w:insideV w:val="single" w:sz="4" w:color="AAB5C3"/>
        </w:tblBorders>
      </w:tblPr>
      <w:tr>
        <w:tc>
          <w:tcPr>
            <w:shd w:fill="DCE6F1"/>
            <w:tcMar>
              <w:top w:w="100" w:type="dxa"/>
              <w:start w:w="120" w:type="dxa"/>
              <w:bottom w:w="100" w:type="dxa"/>
              <w:end w:w="120" w:type="dxa"/>
            </w:tcMar>
          </w:tcPr>
          <w:p>
            <w:pPr>
              <w:pStyle w:val="Normal"/>
            </w:pPr>
            <w:r>
              <w:rPr>
                <w:b/>
              </w:rPr>
              <w:t xml:space="preserve">Mecanismo o patrón</w:t>
            </w:r>
          </w:p>
        </w:tc>
        <w:tc>
          <w:tcPr>
            <w:shd w:fill="F7F9FC"/>
            <w:tcMar>
              <w:top w:w="100" w:type="dxa"/>
              <w:start w:w="120" w:type="dxa"/>
              <w:bottom w:w="100" w:type="dxa"/>
              <w:end w:w="120" w:type="dxa"/>
            </w:tcMar>
          </w:tcPr>
          <w:p>
            <w:pPr>
              <w:pStyle w:val="Normal"/>
            </w:pPr>
            <w:r>
              <w:t xml:space="preserve">Evidencia en repositorio</w:t>
            </w:r>
          </w:p>
        </w:tc>
        <w:tc>
          <w:tcPr>
            <w:shd w:fill="F7F9FC"/>
            <w:tcMar>
              <w:top w:w="100" w:type="dxa"/>
              <w:start w:w="120" w:type="dxa"/>
              <w:bottom w:w="100" w:type="dxa"/>
              <w:end w:w="120" w:type="dxa"/>
            </w:tcMar>
          </w:tcPr>
          <w:p>
            <w:pPr>
              <w:pStyle w:val="Normal"/>
            </w:pPr>
            <w:r>
              <w:t xml:space="preserve">Aporte</w:t>
            </w:r>
          </w:p>
        </w:tc>
      </w:tr>
      <w:tr>
        <w:tc>
          <w:tcPr>
            <w:shd w:fill="DCE6F1"/>
            <w:tcMar>
              <w:top w:w="100" w:type="dxa"/>
              <w:start w:w="120" w:type="dxa"/>
              <w:bottom w:w="100" w:type="dxa"/>
              <w:end w:w="120" w:type="dxa"/>
            </w:tcMar>
          </w:tcPr>
          <w:p>
            <w:pPr>
              <w:pStyle w:val="Normal"/>
            </w:pPr>
            <w:r>
              <w:rPr>
                <w:b/>
              </w:rPr>
              <w:t xml:space="preserve">Cliente-servidor</w:t>
            </w:r>
          </w:p>
        </w:tc>
        <w:tc>
          <w:tcPr>
            <w:shd w:fill="F7F9FC"/>
            <w:tcMar>
              <w:top w:w="100" w:type="dxa"/>
              <w:start w:w="120" w:type="dxa"/>
              <w:bottom w:w="100" w:type="dxa"/>
              <w:end w:w="120" w:type="dxa"/>
            </w:tcMar>
          </w:tcPr>
          <w:p>
            <w:pPr>
              <w:pStyle w:val="Normal"/>
            </w:pPr>
            <w:r>
              <w:t xml:space="preserve">SPA React consume API HTTP NestJS</w:t>
            </w:r>
          </w:p>
        </w:tc>
        <w:tc>
          <w:tcPr>
            <w:shd w:fill="F7F9FC"/>
            <w:tcMar>
              <w:top w:w="100" w:type="dxa"/>
              <w:start w:w="120" w:type="dxa"/>
              <w:bottom w:w="100" w:type="dxa"/>
              <w:end w:w="120" w:type="dxa"/>
            </w:tcMar>
          </w:tcPr>
          <w:p>
            <w:pPr>
              <w:pStyle w:val="Normal"/>
            </w:pPr>
            <w:r>
              <w:t xml:space="preserve">Separación entre interfaz y servicios de aplicación</w:t>
            </w:r>
          </w:p>
        </w:tc>
      </w:tr>
      <w:tr>
        <w:tc>
          <w:tcPr>
            <w:shd w:fill="DCE6F1"/>
            <w:tcMar>
              <w:top w:w="100" w:type="dxa"/>
              <w:start w:w="120" w:type="dxa"/>
              <w:bottom w:w="100" w:type="dxa"/>
              <w:end w:w="120" w:type="dxa"/>
            </w:tcMar>
          </w:tcPr>
          <w:p>
            <w:pPr>
              <w:pStyle w:val="Normal"/>
            </w:pPr>
            <w:r>
              <w:rPr>
                <w:b/>
              </w:rPr>
              <w:t xml:space="preserve">Arquitectura por capas</w:t>
            </w:r>
          </w:p>
        </w:tc>
        <w:tc>
          <w:tcPr>
            <w:shd w:fill="F7F9FC"/>
            <w:tcMar>
              <w:top w:w="100" w:type="dxa"/>
              <w:start w:w="120" w:type="dxa"/>
              <w:bottom w:w="100" w:type="dxa"/>
              <w:end w:w="120" w:type="dxa"/>
            </w:tcMar>
          </w:tcPr>
          <w:p>
            <w:pPr>
              <w:pStyle w:val="Normal"/>
            </w:pPr>
            <w:r>
              <w:t xml:space="preserve">Controller → Service → PrismaService</w:t>
            </w:r>
          </w:p>
        </w:tc>
        <w:tc>
          <w:tcPr>
            <w:shd w:fill="F7F9FC"/>
            <w:tcMar>
              <w:top w:w="100" w:type="dxa"/>
              <w:start w:w="120" w:type="dxa"/>
              <w:bottom w:w="100" w:type="dxa"/>
              <w:end w:w="120" w:type="dxa"/>
            </w:tcMar>
          </w:tcPr>
          <w:p>
            <w:pPr>
              <w:pStyle w:val="Normal"/>
            </w:pPr>
            <w:r>
              <w:t xml:space="preserve">Responsabilidades distinguibles y pruebas aislables</w:t>
            </w:r>
          </w:p>
        </w:tc>
      </w:tr>
      <w:tr>
        <w:tc>
          <w:tcPr>
            <w:shd w:fill="DCE6F1"/>
            <w:tcMar>
              <w:top w:w="100" w:type="dxa"/>
              <w:start w:w="120" w:type="dxa"/>
              <w:bottom w:w="100" w:type="dxa"/>
              <w:end w:w="120" w:type="dxa"/>
            </w:tcMar>
          </w:tcPr>
          <w:p>
            <w:pPr>
              <w:pStyle w:val="Normal"/>
            </w:pPr>
            <w:r>
              <w:rPr>
                <w:b/>
              </w:rPr>
              <w:t xml:space="preserve">DTO</w:t>
            </w:r>
          </w:p>
        </w:tc>
        <w:tc>
          <w:tcPr>
            <w:shd w:fill="F7F9FC"/>
            <w:tcMar>
              <w:top w:w="100" w:type="dxa"/>
              <w:start w:w="120" w:type="dxa"/>
              <w:bottom w:w="100" w:type="dxa"/>
              <w:end w:w="120" w:type="dxa"/>
            </w:tcMar>
          </w:tcPr>
          <w:p>
            <w:pPr>
              <w:pStyle w:val="Normal"/>
            </w:pPr>
            <w:r>
              <w:t xml:space="preserve">DTO de invitación, actualización y autenticación</w:t>
            </w:r>
          </w:p>
        </w:tc>
        <w:tc>
          <w:tcPr>
            <w:shd w:fill="F7F9FC"/>
            <w:tcMar>
              <w:top w:w="100" w:type="dxa"/>
              <w:start w:w="120" w:type="dxa"/>
              <w:bottom w:w="100" w:type="dxa"/>
              <w:end w:w="120" w:type="dxa"/>
            </w:tcMar>
          </w:tcPr>
          <w:p>
            <w:pPr>
              <w:pStyle w:val="Normal"/>
            </w:pPr>
            <w:r>
              <w:t xml:space="preserve">Contrato y validación de datos de entrada</w:t>
            </w:r>
          </w:p>
        </w:tc>
      </w:tr>
      <w:tr>
        <w:tc>
          <w:tcPr>
            <w:shd w:fill="DCE6F1"/>
            <w:tcMar>
              <w:top w:w="100" w:type="dxa"/>
              <w:start w:w="120" w:type="dxa"/>
              <w:bottom w:w="100" w:type="dxa"/>
              <w:end w:w="120" w:type="dxa"/>
            </w:tcMar>
          </w:tcPr>
          <w:p>
            <w:pPr>
              <w:pStyle w:val="Normal"/>
            </w:pPr>
            <w:r>
              <w:rPr>
                <w:b/>
              </w:rPr>
              <w:t xml:space="preserve">Inyección de dependencias</w:t>
            </w:r>
          </w:p>
        </w:tc>
        <w:tc>
          <w:tcPr>
            <w:shd w:fill="F7F9FC"/>
            <w:tcMar>
              <w:top w:w="100" w:type="dxa"/>
              <w:start w:w="120" w:type="dxa"/>
              <w:bottom w:w="100" w:type="dxa"/>
              <w:end w:w="120" w:type="dxa"/>
            </w:tcMar>
          </w:tcPr>
          <w:p>
            <w:pPr>
              <w:pStyle w:val="Normal"/>
            </w:pPr>
            <w:r>
              <w:t xml:space="preserve">Providers declarados en módulos NestJS</w:t>
            </w:r>
          </w:p>
        </w:tc>
        <w:tc>
          <w:tcPr>
            <w:shd w:fill="F7F9FC"/>
            <w:tcMar>
              <w:top w:w="100" w:type="dxa"/>
              <w:start w:w="120" w:type="dxa"/>
              <w:bottom w:w="100" w:type="dxa"/>
              <w:end w:w="120" w:type="dxa"/>
            </w:tcMar>
          </w:tcPr>
          <w:p>
            <w:pPr>
              <w:pStyle w:val="Normal"/>
            </w:pPr>
            <w:r>
              <w:t xml:space="preserve">Acoplamiento reducido y sustitución por mocks</w:t>
            </w:r>
          </w:p>
        </w:tc>
      </w:tr>
      <w:tr>
        <w:tc>
          <w:tcPr>
            <w:shd w:fill="DCE6F1"/>
            <w:tcMar>
              <w:top w:w="100" w:type="dxa"/>
              <w:start w:w="120" w:type="dxa"/>
              <w:bottom w:w="100" w:type="dxa"/>
              <w:end w:w="120" w:type="dxa"/>
            </w:tcMar>
          </w:tcPr>
          <w:p>
            <w:pPr>
              <w:pStyle w:val="Normal"/>
            </w:pPr>
            <w:r>
              <w:rPr>
                <w:b/>
              </w:rPr>
              <w:t xml:space="preserve">Módulos por dominio</w:t>
            </w:r>
          </w:p>
        </w:tc>
        <w:tc>
          <w:tcPr>
            <w:shd w:fill="F7F9FC"/>
            <w:tcMar>
              <w:top w:w="100" w:type="dxa"/>
              <w:start w:w="120" w:type="dxa"/>
              <w:bottom w:w="100" w:type="dxa"/>
              <w:end w:w="120" w:type="dxa"/>
            </w:tcMar>
          </w:tcPr>
          <w:p>
            <w:pPr>
              <w:pStyle w:val="Normal"/>
            </w:pPr>
            <w:r>
              <w:t xml:space="preserve">UsersModule, AuthModule, VisitorsModule, etc.</w:t>
            </w:r>
          </w:p>
        </w:tc>
        <w:tc>
          <w:tcPr>
            <w:shd w:fill="F7F9FC"/>
            <w:tcMar>
              <w:top w:w="100" w:type="dxa"/>
              <w:start w:w="120" w:type="dxa"/>
              <w:bottom w:w="100" w:type="dxa"/>
              <w:end w:w="120" w:type="dxa"/>
            </w:tcMar>
          </w:tcPr>
          <w:p>
            <w:pPr>
              <w:pStyle w:val="Normal"/>
            </w:pPr>
            <w:r>
              <w:t xml:space="preserve">Cohesión y límites funcionales</w:t>
            </w:r>
          </w:p>
        </w:tc>
      </w:tr>
      <w:tr>
        <w:tc>
          <w:tcPr>
            <w:shd w:fill="DCE6F1"/>
            <w:tcMar>
              <w:top w:w="100" w:type="dxa"/>
              <w:start w:w="120" w:type="dxa"/>
              <w:bottom w:w="100" w:type="dxa"/>
              <w:end w:w="120" w:type="dxa"/>
            </w:tcMar>
          </w:tcPr>
          <w:p>
            <w:pPr>
              <w:pStyle w:val="Normal"/>
            </w:pPr>
            <w:r>
              <w:rPr>
                <w:b/>
              </w:rPr>
              <w:t xml:space="preserve">RBAC y guards</w:t>
            </w:r>
          </w:p>
        </w:tc>
        <w:tc>
          <w:tcPr>
            <w:shd w:fill="F7F9FC"/>
            <w:tcMar>
              <w:top w:w="100" w:type="dxa"/>
              <w:start w:w="120" w:type="dxa"/>
              <w:bottom w:w="100" w:type="dxa"/>
              <w:end w:w="120" w:type="dxa"/>
            </w:tcMar>
          </w:tcPr>
          <w:p>
            <w:pPr>
              <w:pStyle w:val="Normal"/>
            </w:pPr>
            <w:r>
              <w:t xml:space="preserve">JwtAuthGuard, RolesGuard, PermissionsGuard</w:t>
            </w:r>
          </w:p>
        </w:tc>
        <w:tc>
          <w:tcPr>
            <w:shd w:fill="F7F9FC"/>
            <w:tcMar>
              <w:top w:w="100" w:type="dxa"/>
              <w:start w:w="120" w:type="dxa"/>
              <w:bottom w:w="100" w:type="dxa"/>
              <w:end w:w="120" w:type="dxa"/>
            </w:tcMar>
          </w:tcPr>
          <w:p>
            <w:pPr>
              <w:pStyle w:val="Normal"/>
            </w:pPr>
            <w:r>
              <w:t xml:space="preserve">Decisiones de autorización antes del caso de uso</w:t>
            </w:r>
          </w:p>
        </w:tc>
      </w:tr>
      <w:tr>
        <w:tc>
          <w:tcPr>
            <w:shd w:fill="DCE6F1"/>
            <w:tcMar>
              <w:top w:w="100" w:type="dxa"/>
              <w:start w:w="120" w:type="dxa"/>
              <w:bottom w:w="100" w:type="dxa"/>
              <w:end w:w="120" w:type="dxa"/>
            </w:tcMar>
          </w:tcPr>
          <w:p>
            <w:pPr>
              <w:pStyle w:val="Normal"/>
            </w:pPr>
            <w:r>
              <w:rPr>
                <w:b/>
              </w:rPr>
              <w:t xml:space="preserve">Transacción / compensación</w:t>
            </w:r>
          </w:p>
        </w:tc>
        <w:tc>
          <w:tcPr>
            <w:shd w:fill="F7F9FC"/>
            <w:tcMar>
              <w:top w:w="100" w:type="dxa"/>
              <w:start w:w="120" w:type="dxa"/>
              <w:bottom w:w="100" w:type="dxa"/>
              <w:end w:w="120" w:type="dxa"/>
            </w:tcMar>
          </w:tcPr>
          <w:p>
            <w:pPr>
              <w:pStyle w:val="Normal"/>
            </w:pPr>
            <w:r>
              <w:t xml:space="preserve">Transacción en invitación; borrado compensatorio si falla el correo</w:t>
            </w:r>
          </w:p>
        </w:tc>
        <w:tc>
          <w:tcPr>
            <w:shd w:fill="F7F9FC"/>
            <w:tcMar>
              <w:top w:w="100" w:type="dxa"/>
              <w:start w:w="120" w:type="dxa"/>
              <w:bottom w:w="100" w:type="dxa"/>
              <w:end w:w="120" w:type="dxa"/>
            </w:tcMar>
          </w:tcPr>
          <w:p>
            <w:pPr>
              <w:pStyle w:val="Normal"/>
            </w:pPr>
            <w:r>
              <w:t xml:space="preserve">Consistencia ante operaciones encadenadas</w:t>
            </w:r>
          </w:p>
        </w:tc>
      </w:tr>
    </w:tbl>
    <w:p>
      <w:pPr>
        <w:pStyle w:val="Normal"/>
      </w:pPr>
      <w:r>
        <w:t xml:space="preserve">MVC y DAO se mencionan en las instrucciones académicas como ejemplos, pero no deben atribuirse literalmente sin evidencia. El frontend no implementa un patrón MVC clásico con controlador y modelo independientes. Prisma aporta un cliente de datos generado; el backend no muestra una capa DAO/repository genérica separada para cada entidad.</w:t>
      </w:r>
    </w:p>
    <w:p>
      <w:pPr>
        <w:pStyle w:val="Heading2"/>
      </w:pPr>
      <w:r>
        <w:t xml:space="preserve">4. Base de datos y modelo multi-tenant</w:t>
      </w:r>
    </w:p>
    <w:p>
      <w:pPr>
        <w:pStyle w:val="Normal"/>
      </w:pPr>
      <w:r>
        <w:t xml:space="preserve">El esquema Prisma configura PostgreSQL y define los modelos en el esquema public. Prisma Schema especifica el proveedor, los modelos, sus campos y relaciones, y permite generar Prisma Client para consultar la base (Prisma, s. f.). La estructura revisada incluye Organization, ResidentialComplex, Role, Permission, RolePermission, User, UserToken, Apartment, Resident, Visitor, Correspondence, Amenity, AmenityBooking, PqrsTicket y MarketplacePost, entre otros. Claves UUID, relaciones, índices y restricciones únicas respaldan la integridad del modelo.</w:t>
      </w:r>
    </w:p>
    <w:p>
      <w:pPr>
        <w:pStyle w:val="Normal"/>
      </w:pPr>
      <w:r>
        <w:t xml:space="preserve">El aislamiento multi-tenant se realiza mediante un esquema compartido con columna discriminadora: los registros de operación se relacionan con residentialComplexId; usuarios también pueden tener organizationId y roleId. UsersService construye un filtro scopeWhereClause con el alcance del solicitante. ROLE_DEV tiene alcance global, ROLE_ORG_ADMIN queda acotado a la organización y un administrador de conjunto consulta los usuarios de su conjunto. Las búsquedas individuales también combinan identificador y alcance, reduciendo el riesgo de leer o modificar registros ajenos. El conjunto se toma del JWT autenticado y la jerarquía de usuario valida las asignaciones durante invitaciones y cambios de rol.</w:t>
      </w:r>
    </w:p>
    <w:p>
      <w:pPr>
        <w:pStyle w:val="Caption"/>
      </w:pPr>
      <w:r>
        <w:t xml:space="preserve">Figura 2</w:t>
      </w:r>
    </w:p>
    <w:p>
      <w:pPr>
        <w:pStyle w:val="Caption"/>
      </w:pPr>
      <w:r>
        <w:t xml:space="preserve">Modelo conceptual simplificado de datos</w:t>
      </w:r>
    </w:p>
    <w:tbl>
      <w:tblPr>
        <w:tblW w:w="9360" w:type="dxa"/>
        <w:tblBorders>
          <w:top w:val="single" w:sz="6" w:color="708090"/>
          <w:left w:val="single" w:sz="6" w:color="708090"/>
          <w:bottom w:val="single" w:sz="6" w:color="708090"/>
          <w:right w:val="single" w:sz="6" w:color="708090"/>
          <w:insideH w:val="single" w:sz="4" w:color="AAB5C3"/>
          <w:insideV w:val="single" w:sz="4" w:color="AAB5C3"/>
        </w:tblBorders>
      </w:tblPr>
      <w:tr>
        <w:tc>
          <w:tcPr>
            <w:shd w:fill="DCE6F1"/>
            <w:tcMar>
              <w:top w:w="100" w:type="dxa"/>
              <w:start w:w="120" w:type="dxa"/>
              <w:bottom w:w="100" w:type="dxa"/>
              <w:end w:w="120" w:type="dxa"/>
            </w:tcMar>
          </w:tcPr>
          <w:p>
            <w:pPr>
              <w:pStyle w:val="Normal"/>
            </w:pPr>
            <w:r>
              <w:rPr>
                <w:b/>
              </w:rPr>
              <w:t xml:space="preserve">Organization (1)</w:t>
            </w:r>
          </w:p>
        </w:tc>
        <w:tc>
          <w:tcPr>
            <w:shd w:fill="F7F9FC"/>
            <w:tcMar>
              <w:top w:w="100" w:type="dxa"/>
              <w:start w:w="120" w:type="dxa"/>
              <w:bottom w:w="100" w:type="dxa"/>
              <w:end w:w="120" w:type="dxa"/>
            </w:tcMar>
          </w:tcPr>
          <w:p>
            <w:pPr>
              <w:pStyle w:val="Normal"/>
            </w:pPr>
            <w:r>
              <w:t xml:space="preserve">contiene → ResidentialComplex (N)</w:t>
            </w:r>
          </w:p>
        </w:tc>
      </w:tr>
      <w:tr>
        <w:tc>
          <w:tcPr>
            <w:shd w:fill="DCE6F1"/>
            <w:tcMar>
              <w:top w:w="100" w:type="dxa"/>
              <w:start w:w="120" w:type="dxa"/>
              <w:bottom w:w="100" w:type="dxa"/>
              <w:end w:w="120" w:type="dxa"/>
            </w:tcMar>
          </w:tcPr>
          <w:p>
            <w:pPr>
              <w:pStyle w:val="Normal"/>
            </w:pPr>
            <w:r>
              <w:rPr>
                <w:b/>
              </w:rPr>
              <w:t xml:space="preserve">ResidentialComplex (1)</w:t>
            </w:r>
          </w:p>
        </w:tc>
        <w:tc>
          <w:tcPr>
            <w:shd w:fill="F7F9FC"/>
            <w:tcMar>
              <w:top w:w="100" w:type="dxa"/>
              <w:start w:w="120" w:type="dxa"/>
              <w:bottom w:w="100" w:type="dxa"/>
              <w:end w:w="120" w:type="dxa"/>
            </w:tcMar>
          </w:tcPr>
          <w:p>
            <w:pPr>
              <w:pStyle w:val="Normal"/>
            </w:pPr>
            <w:r>
              <w:t xml:space="preserve">agrupa → Users, Apartments, Residents, Visitors (N)</w:t>
            </w:r>
          </w:p>
        </w:tc>
      </w:tr>
      <w:tr>
        <w:tc>
          <w:tcPr>
            <w:shd w:fill="DCE6F1"/>
            <w:tcMar>
              <w:top w:w="100" w:type="dxa"/>
              <w:start w:w="120" w:type="dxa"/>
              <w:bottom w:w="100" w:type="dxa"/>
              <w:end w:w="120" w:type="dxa"/>
            </w:tcMar>
          </w:tcPr>
          <w:p>
            <w:pPr>
              <w:pStyle w:val="Normal"/>
            </w:pPr>
            <w:r>
              <w:rPr>
                <w:b/>
              </w:rPr>
              <w:t xml:space="preserve">Role (N) ↔ Permission (N)</w:t>
            </w:r>
          </w:p>
        </w:tc>
        <w:tc>
          <w:tcPr>
            <w:shd w:fill="F7F9FC"/>
            <w:tcMar>
              <w:top w:w="100" w:type="dxa"/>
              <w:start w:w="120" w:type="dxa"/>
              <w:bottom w:w="100" w:type="dxa"/>
              <w:end w:w="120" w:type="dxa"/>
            </w:tcMar>
          </w:tcPr>
          <w:p>
            <w:pPr>
              <w:pStyle w:val="Normal"/>
            </w:pPr>
            <w:r>
              <w:t xml:space="preserve">conecta por RolePermission</w:t>
            </w:r>
          </w:p>
        </w:tc>
      </w:tr>
      <w:tr>
        <w:tc>
          <w:tcPr>
            <w:shd w:fill="DCE6F1"/>
            <w:tcMar>
              <w:top w:w="100" w:type="dxa"/>
              <w:start w:w="120" w:type="dxa"/>
              <w:bottom w:w="100" w:type="dxa"/>
              <w:end w:w="120" w:type="dxa"/>
            </w:tcMar>
          </w:tcPr>
          <w:p>
            <w:pPr>
              <w:pStyle w:val="Normal"/>
            </w:pPr>
            <w:r>
              <w:rPr>
                <w:b/>
              </w:rPr>
              <w:t xml:space="preserve">User (1)</w:t>
            </w:r>
          </w:p>
        </w:tc>
        <w:tc>
          <w:tcPr>
            <w:shd w:fill="F7F9FC"/>
            <w:tcMar>
              <w:top w:w="100" w:type="dxa"/>
              <w:start w:w="120" w:type="dxa"/>
              <w:bottom w:w="100" w:type="dxa"/>
              <w:end w:w="120" w:type="dxa"/>
            </w:tcMar>
          </w:tcPr>
          <w:p>
            <w:pPr>
              <w:pStyle w:val="Normal"/>
            </w:pPr>
            <w:r>
              <w:t xml:space="preserve">se vincula con → UserToken, Resident, AmenityBooking y PqrsTicket (N)</w:t>
            </w:r>
          </w:p>
        </w:tc>
      </w:tr>
      <w:tr>
        <w:tc>
          <w:tcPr>
            <w:shd w:fill="DCE6F1"/>
            <w:tcMar>
              <w:top w:w="100" w:type="dxa"/>
              <w:start w:w="120" w:type="dxa"/>
              <w:bottom w:w="100" w:type="dxa"/>
              <w:end w:w="120" w:type="dxa"/>
            </w:tcMar>
          </w:tcPr>
          <w:p>
            <w:pPr>
              <w:pStyle w:val="Normal"/>
            </w:pPr>
            <w:r>
              <w:rPr>
                <w:b/>
              </w:rPr>
              <w:t xml:space="preserve">Apartment (1)</w:t>
            </w:r>
          </w:p>
        </w:tc>
        <w:tc>
          <w:tcPr>
            <w:shd w:fill="F7F9FC"/>
            <w:tcMar>
              <w:top w:w="100" w:type="dxa"/>
              <w:start w:w="120" w:type="dxa"/>
              <w:bottom w:w="100" w:type="dxa"/>
              <w:end w:w="120" w:type="dxa"/>
            </w:tcMar>
          </w:tcPr>
          <w:p>
            <w:pPr>
              <w:pStyle w:val="Normal"/>
            </w:pPr>
            <w:r>
              <w:t xml:space="preserve">puede asociar → Residents (N)</w:t>
            </w:r>
          </w:p>
        </w:tc>
      </w:tr>
    </w:tbl>
    <w:p>
      <w:pPr>
        <w:pStyle w:val="Normal"/>
      </w:pPr>
      <w:r>
        <w:t xml:space="preserve">Las cardinalidades sintetizan relaciones visibles en schema.prisma; no representan todos los atributos ni todas las relaciones del dominio.</w:t>
      </w:r>
    </w:p>
    <w:p>
      <w:pPr>
        <w:pStyle w:val="Heading2"/>
      </w:pPr>
      <w:r>
        <w:t xml:space="preserve">5. Seguridad, calidad y fiabilidad</w:t>
      </w:r>
    </w:p>
    <w:p>
      <w:pPr>
        <w:pStyle w:val="Normal"/>
      </w:pPr>
      <w:r>
        <w:t xml:space="preserve">Autenticación: AuthService compara credenciales con bcrypt y firma tokens JWT. JwtAuthGuard protege rutas y JwtStrategy transforma el token en el contexto de usuario que consumen los controladores. El token incorpora identificador, rol y ámbito organizacional/residencial. Los tokens de activación y restablecimiento se generan y guardan como hash; las cuentas pendientes o inactivas se gestionan en flujos diferenciados.</w:t>
      </w:r>
    </w:p>
    <w:p>
      <w:pPr>
        <w:pStyle w:val="Normal"/>
      </w:pPr>
      <w:r>
        <w:t xml:space="preserve">Autorización: RolesGuard, PermissionsGuard, decoradores @Roles y metadatos de permisos limitan el acceso por rol o permiso. El frontend complementa la experiencia mediante ProtectedRoute y Can; estos controles de interfaz no reemplazan la autorización del servidor. OWASP recomienda mínimo privilegio y denegación por defecto (OWASP Foundation, s. f.).</w:t>
      </w:r>
    </w:p>
    <w:p>
      <w:pPr>
        <w:pStyle w:val="Normal"/>
      </w:pPr>
      <w:r>
        <w:t xml:space="preserve">Validación y transporte: el pipe global rechaza propiedades no declaradas y convierte datos a los tipos esperados. CORS limita los orígenes a la configuración del servidor y Swagger documenta endpoints y autenticación Bearer. La subida de avatares valida tipo de imagen y tamaño máximo de 5 MB en el controlador. Las variables de configuración se cargan desde el entorno; los archivos .env se excluyeron de esta revisión y no deben incorporarse a entregables públicos.</w:t>
      </w:r>
    </w:p>
    <w:p>
      <w:pPr>
        <w:pStyle w:val="Normal"/>
      </w:pPr>
      <w:r>
        <w:t xml:space="preserve">Fiabilidad: la invitación coordina creación del usuario y token en una transacción. Si el correo no puede enviarse después de confirmar la transacción, se ejecuta una eliminación compensatoria del usuario para evitar registros incompletos. Los servicios de visitantes emiten actualizaciones tras persistir eventos, y las reglas de eliminación de usuarios protegen integridad referencial. Estas medidas reducen algunos fallos, pero no constituyen por sí mismas una garantía de alta disponibilidad, recuperación ante desastres o idempotencia global.</w:t>
      </w:r>
    </w:p>
    <w:p>
      <w:pPr>
        <w:pStyle w:val="Heading2"/>
      </w:pPr>
      <w:r>
        <w:t xml:space="preserve">6. Flujos CRUD y de acceso</w:t>
      </w:r>
    </w:p>
    <w:p>
      <w:pPr>
        <w:pStyle w:val="Caption"/>
      </w:pPr>
      <w:r>
        <w:t xml:space="preserve">Figura 3</w:t>
      </w:r>
    </w:p>
    <w:p>
      <w:pPr>
        <w:pStyle w:val="Caption"/>
      </w:pPr>
      <w:r>
        <w:t xml:space="preserve">Flujo de autenticación y operación CRUD de usuarios</w:t>
      </w:r>
    </w:p>
    <w:tbl>
      <w:tblPr>
        <w:tblW w:w="9360" w:type="dxa"/>
        <w:tblBorders>
          <w:top w:val="single" w:sz="6" w:color="708090"/>
          <w:left w:val="single" w:sz="6" w:color="708090"/>
          <w:bottom w:val="single" w:sz="6" w:color="708090"/>
          <w:right w:val="single" w:sz="6" w:color="708090"/>
          <w:insideH w:val="single" w:sz="4" w:color="AAB5C3"/>
          <w:insideV w:val="single" w:sz="4" w:color="AAB5C3"/>
        </w:tblBorders>
      </w:tblPr>
      <w:tr>
        <w:tc>
          <w:tcPr>
            <w:shd w:fill="DCE6F1"/>
            <w:tcMar>
              <w:top w:w="100" w:type="dxa"/>
              <w:start w:w="120" w:type="dxa"/>
              <w:bottom w:w="100" w:type="dxa"/>
              <w:end w:w="120" w:type="dxa"/>
            </w:tcMar>
          </w:tcPr>
          <w:p>
            <w:pPr>
              <w:pStyle w:val="Normal"/>
            </w:pPr>
            <w:r>
              <w:rPr>
                <w:b/>
              </w:rPr>
              <w:t xml:space="preserve">1. Iniciar sesión</w:t>
            </w:r>
          </w:p>
        </w:tc>
        <w:tc>
          <w:tcPr>
            <w:shd w:fill="F7F9FC"/>
            <w:tcMar>
              <w:top w:w="100" w:type="dxa"/>
              <w:start w:w="120" w:type="dxa"/>
              <w:bottom w:w="100" w:type="dxa"/>
              <w:end w:w="120" w:type="dxa"/>
            </w:tcMar>
          </w:tcPr>
          <w:p>
            <w:pPr>
              <w:pStyle w:val="Normal"/>
            </w:pPr>
            <w:r>
              <w:t xml:space="preserve">POST /auth/login; validación de credenciales y emisión de JWT</w:t>
            </w:r>
          </w:p>
        </w:tc>
      </w:tr>
      <w:tr>
        <w:tc>
          <w:tcPr>
            <w:shd w:fill="DCE6F1"/>
            <w:tcMar>
              <w:top w:w="100" w:type="dxa"/>
              <w:start w:w="120" w:type="dxa"/>
              <w:bottom w:w="100" w:type="dxa"/>
              <w:end w:w="120" w:type="dxa"/>
            </w:tcMar>
          </w:tcPr>
          <w:p>
            <w:pPr>
              <w:pStyle w:val="Normal"/>
            </w:pPr>
            <w:r>
              <w:rPr>
                <w:b/>
              </w:rPr>
              <w:t xml:space="preserve">2. Autorizar solicitud</w:t>
            </w:r>
          </w:p>
        </w:tc>
        <w:tc>
          <w:tcPr>
            <w:shd w:fill="F7F9FC"/>
            <w:tcMar>
              <w:top w:w="100" w:type="dxa"/>
              <w:start w:w="120" w:type="dxa"/>
              <w:bottom w:w="100" w:type="dxa"/>
              <w:end w:w="120" w:type="dxa"/>
            </w:tcMar>
          </w:tcPr>
          <w:p>
            <w:pPr>
              <w:pStyle w:val="Normal"/>
            </w:pPr>
            <w:r>
              <w:t xml:space="preserve">JwtAuthGuard autentica; RolesGuard/PermissionsGuard verifican el acceso</w:t>
            </w:r>
          </w:p>
        </w:tc>
      </w:tr>
      <w:tr>
        <w:tc>
          <w:tcPr>
            <w:shd w:fill="DCE6F1"/>
            <w:tcMar>
              <w:top w:w="100" w:type="dxa"/>
              <w:start w:w="120" w:type="dxa"/>
              <w:bottom w:w="100" w:type="dxa"/>
              <w:end w:w="120" w:type="dxa"/>
            </w:tcMar>
          </w:tcPr>
          <w:p>
            <w:pPr>
              <w:pStyle w:val="Normal"/>
            </w:pPr>
            <w:r>
              <w:rPr>
                <w:b/>
              </w:rPr>
              <w:t xml:space="preserve">3. Validar datos</w:t>
            </w:r>
          </w:p>
        </w:tc>
        <w:tc>
          <w:tcPr>
            <w:shd w:fill="F7F9FC"/>
            <w:tcMar>
              <w:top w:w="100" w:type="dxa"/>
              <w:start w:w="120" w:type="dxa"/>
              <w:bottom w:w="100" w:type="dxa"/>
              <w:end w:w="120" w:type="dxa"/>
            </w:tcMar>
          </w:tcPr>
          <w:p>
            <w:pPr>
              <w:pStyle w:val="Normal"/>
            </w:pPr>
            <w:r>
              <w:t xml:space="preserve">DTO + ValidationPipe verifican forma y campos permitidos</w:t>
            </w:r>
          </w:p>
        </w:tc>
      </w:tr>
      <w:tr>
        <w:tc>
          <w:tcPr>
            <w:shd w:fill="DCE6F1"/>
            <w:tcMar>
              <w:top w:w="100" w:type="dxa"/>
              <w:start w:w="120" w:type="dxa"/>
              <w:bottom w:w="100" w:type="dxa"/>
              <w:end w:w="120" w:type="dxa"/>
            </w:tcMar>
          </w:tcPr>
          <w:p>
            <w:pPr>
              <w:pStyle w:val="Normal"/>
            </w:pPr>
            <w:r>
              <w:rPr>
                <w:b/>
              </w:rPr>
              <w:t xml:space="preserve">4. Aplicar regla</w:t>
            </w:r>
          </w:p>
        </w:tc>
        <w:tc>
          <w:tcPr>
            <w:shd w:fill="F7F9FC"/>
            <w:tcMar>
              <w:top w:w="100" w:type="dxa"/>
              <w:start w:w="120" w:type="dxa"/>
              <w:bottom w:w="100" w:type="dxa"/>
              <w:end w:w="120" w:type="dxa"/>
            </w:tcMar>
          </w:tcPr>
          <w:p>
            <w:pPr>
              <w:pStyle w:val="Normal"/>
            </w:pPr>
            <w:r>
              <w:t xml:space="preserve">Controlador delega al servicio; se verifica jerarquía y alcance</w:t>
            </w:r>
          </w:p>
        </w:tc>
      </w:tr>
      <w:tr>
        <w:tc>
          <w:tcPr>
            <w:shd w:fill="DCE6F1"/>
            <w:tcMar>
              <w:top w:w="100" w:type="dxa"/>
              <w:start w:w="120" w:type="dxa"/>
              <w:bottom w:w="100" w:type="dxa"/>
              <w:end w:w="120" w:type="dxa"/>
            </w:tcMar>
          </w:tcPr>
          <w:p>
            <w:pPr>
              <w:pStyle w:val="Normal"/>
            </w:pPr>
            <w:r>
              <w:rPr>
                <w:b/>
              </w:rPr>
              <w:t xml:space="preserve">5. Leer o escribir</w:t>
            </w:r>
          </w:p>
        </w:tc>
        <w:tc>
          <w:tcPr>
            <w:shd w:fill="F7F9FC"/>
            <w:tcMar>
              <w:top w:w="100" w:type="dxa"/>
              <w:start w:w="120" w:type="dxa"/>
              <w:bottom w:w="100" w:type="dxa"/>
              <w:end w:w="120" w:type="dxa"/>
            </w:tcMar>
          </w:tcPr>
          <w:p>
            <w:pPr>
              <w:pStyle w:val="Normal"/>
            </w:pPr>
            <w:r>
              <w:t xml:space="preserve">PrismaService ejecuta la consulta en PostgreSQL; transacción cuando aplica</w:t>
            </w:r>
          </w:p>
        </w:tc>
      </w:tr>
      <w:tr>
        <w:tc>
          <w:tcPr>
            <w:shd w:fill="DCE6F1"/>
            <w:tcMar>
              <w:top w:w="100" w:type="dxa"/>
              <w:start w:w="120" w:type="dxa"/>
              <w:bottom w:w="100" w:type="dxa"/>
              <w:end w:w="120" w:type="dxa"/>
            </w:tcMar>
          </w:tcPr>
          <w:p>
            <w:pPr>
              <w:pStyle w:val="Normal"/>
            </w:pPr>
            <w:r>
              <w:rPr>
                <w:b/>
              </w:rPr>
              <w:t xml:space="preserve">6. Responder</w:t>
            </w:r>
          </w:p>
        </w:tc>
        <w:tc>
          <w:tcPr>
            <w:shd w:fill="F7F9FC"/>
            <w:tcMar>
              <w:top w:w="100" w:type="dxa"/>
              <w:start w:w="120" w:type="dxa"/>
              <w:bottom w:w="100" w:type="dxa"/>
              <w:end w:w="120" w:type="dxa"/>
            </w:tcMar>
          </w:tcPr>
          <w:p>
            <w:pPr>
              <w:pStyle w:val="Normal"/>
            </w:pPr>
            <w:r>
              <w:t xml:space="preserve">La API devuelve datos públicos o error HTTP; frontend actualiza la vista</w:t>
            </w:r>
          </w:p>
        </w:tc>
      </w:tr>
    </w:tbl>
    <w:p>
      <w:pPr>
        <w:pStyle w:val="Normal"/>
      </w:pPr>
      <w:r>
        <w:t xml:space="preserve">Ejemplo de usuarios: GET /users lista dentro del alcance autorizado; POST /users/invite crea usuario pendiente y token; PATCH /users/:id actualiza campos y valida una reasignación de rol; DELETE /users/:id elimina un usuario pendiente o desactiva uno activo. GET/PATCH /users/me permite recuperar y actualizar el propio perfil. Las rutas y reglas exactas dependen del rol y del DTO enviado.</w:t>
      </w:r>
    </w:p>
    <w:p>
      <w:pPr>
        <w:pStyle w:val="Heading2"/>
      </w:pPr>
      <w:r>
        <w:t xml:space="preserve">7. Pruebas automatizadas y estrategia QA</w:t>
      </w:r>
    </w:p>
    <w:p>
      <w:pPr>
        <w:pStyle w:val="Normal"/>
      </w:pPr>
      <w:r>
        <w:t xml:space="preserve">El repositorio backend configura Jest y ts-jest y contiene suites unitarias en auth.service.spec.ts, users.service.spec.ts, residential-complexes.service.spec.ts, organizations.service.spec.ts y servicios/controlador de tipos de documento. La suite de autenticación contempla, entre otros, login, conmutación de conjunto, activación de cuenta, recuperación y restablecimiento de contraseña con dobles de Prisma, JWT y correo. La suite de usuarios cubre reglas de acceso y operaciones del servicio. El frontend contiene una prueba Node.js para el mapeo del payload de edición de usuario. La existencia de archivos de prueba no demuestra por sí sola que todas las pruebas pasen ni cubran toda la aplicación.</w:t>
      </w:r>
    </w:p>
    <w:p>
      <w:pPr>
        <w:pStyle w:val="Normal"/>
      </w:pPr>
      <w:r>
        <w:t xml:space="preserve">Para el flujo de cambio de rol, una matriz QA debe cubrir: (a) rol permitido dentro del conjunto; (b) intento de asignar un rol superior o fuera de la jerarquía; (c) organizationId enviado manualmente cuando debe derivarse del conjunto; (d) usuario destino fuera del scope; (e) UUID o rol inexistente; (f) actualización parcial sin alterar campos omitidos; (g) usuario actual intentando cambiar su propio estado; (h) persistencia correcta y actualización de la lista tras respuesta exitosa; y (i) mensajes de error y recuperación cuando la API responde 400, 403 o 404. Deben probarse servicio y endpoint, y una prueba de integración debe comprobar la regla con PostgreSQL de prueba.</w:t>
      </w:r>
    </w:p>
    <w:tbl>
      <w:tblPr>
        <w:tblW w:w="9360" w:type="dxa"/>
        <w:tblBorders>
          <w:top w:val="single" w:sz="6" w:color="708090"/>
          <w:left w:val="single" w:sz="6" w:color="708090"/>
          <w:bottom w:val="single" w:sz="6" w:color="708090"/>
          <w:right w:val="single" w:sz="6" w:color="708090"/>
          <w:insideH w:val="single" w:sz="4" w:color="AAB5C3"/>
          <w:insideV w:val="single" w:sz="4" w:color="AAB5C3"/>
        </w:tblBorders>
      </w:tblPr>
      <w:tr>
        <w:tc>
          <w:tcPr>
            <w:shd w:fill="DCE6F1"/>
            <w:tcMar>
              <w:top w:w="100" w:type="dxa"/>
              <w:start w:w="120" w:type="dxa"/>
              <w:bottom w:w="100" w:type="dxa"/>
              <w:end w:w="120" w:type="dxa"/>
            </w:tcMar>
          </w:tcPr>
          <w:p>
            <w:pPr>
              <w:pStyle w:val="Normal"/>
            </w:pPr>
            <w:r>
              <w:rPr>
                <w:b/>
              </w:rPr>
              <w:t xml:space="preserve">Nivel</w:t>
            </w:r>
          </w:p>
        </w:tc>
        <w:tc>
          <w:tcPr>
            <w:shd w:fill="F7F9FC"/>
            <w:tcMar>
              <w:top w:w="100" w:type="dxa"/>
              <w:start w:w="120" w:type="dxa"/>
              <w:bottom w:w="100" w:type="dxa"/>
              <w:end w:w="120" w:type="dxa"/>
            </w:tcMar>
          </w:tcPr>
          <w:p>
            <w:pPr>
              <w:pStyle w:val="Normal"/>
            </w:pPr>
            <w:r>
              <w:t xml:space="preserve">Qué valida</w:t>
            </w:r>
          </w:p>
        </w:tc>
        <w:tc>
          <w:tcPr>
            <w:shd w:fill="F7F9FC"/>
            <w:tcMar>
              <w:top w:w="100" w:type="dxa"/>
              <w:start w:w="120" w:type="dxa"/>
              <w:bottom w:w="100" w:type="dxa"/>
              <w:end w:w="120" w:type="dxa"/>
            </w:tcMar>
          </w:tcPr>
          <w:p>
            <w:pPr>
              <w:pStyle w:val="Normal"/>
            </w:pPr>
            <w:r>
              <w:t xml:space="preserve">Ejemplo para cambio de rol</w:t>
            </w:r>
          </w:p>
        </w:tc>
      </w:tr>
      <w:tr>
        <w:tc>
          <w:tcPr>
            <w:shd w:fill="DCE6F1"/>
            <w:tcMar>
              <w:top w:w="100" w:type="dxa"/>
              <w:start w:w="120" w:type="dxa"/>
              <w:bottom w:w="100" w:type="dxa"/>
              <w:end w:w="120" w:type="dxa"/>
            </w:tcMar>
          </w:tcPr>
          <w:p>
            <w:pPr>
              <w:pStyle w:val="Normal"/>
            </w:pPr>
            <w:r>
              <w:rPr>
                <w:b/>
              </w:rPr>
              <w:t xml:space="preserve">Unitario</w:t>
            </w:r>
          </w:p>
        </w:tc>
        <w:tc>
          <w:tcPr>
            <w:shd w:fill="F7F9FC"/>
            <w:tcMar>
              <w:top w:w="100" w:type="dxa"/>
              <w:start w:w="120" w:type="dxa"/>
              <w:bottom w:w="100" w:type="dxa"/>
              <w:end w:w="120" w:type="dxa"/>
            </w:tcMar>
          </w:tcPr>
          <w:p>
            <w:pPr>
              <w:pStyle w:val="Normal"/>
            </w:pPr>
            <w:r>
              <w:t xml:space="preserve">Regla aislada con dependencias simuladas</w:t>
            </w:r>
          </w:p>
        </w:tc>
        <w:tc>
          <w:tcPr>
            <w:shd w:fill="F7F9FC"/>
            <w:tcMar>
              <w:top w:w="100" w:type="dxa"/>
              <w:start w:w="120" w:type="dxa"/>
              <w:bottom w:w="100" w:type="dxa"/>
              <w:end w:w="120" w:type="dxa"/>
            </w:tcMar>
          </w:tcPr>
          <w:p>
            <w:pPr>
              <w:pStyle w:val="Normal"/>
            </w:pPr>
            <w:r>
              <w:t xml:space="preserve">Jerarquía, filtro tenant, casos inválidos</w:t>
            </w:r>
          </w:p>
        </w:tc>
      </w:tr>
      <w:tr>
        <w:tc>
          <w:tcPr>
            <w:shd w:fill="DCE6F1"/>
            <w:tcMar>
              <w:top w:w="100" w:type="dxa"/>
              <w:start w:w="120" w:type="dxa"/>
              <w:bottom w:w="100" w:type="dxa"/>
              <w:end w:w="120" w:type="dxa"/>
            </w:tcMar>
          </w:tcPr>
          <w:p>
            <w:pPr>
              <w:pStyle w:val="Normal"/>
            </w:pPr>
            <w:r>
              <w:rPr>
                <w:b/>
              </w:rPr>
              <w:t xml:space="preserve">Integración</w:t>
            </w:r>
          </w:p>
        </w:tc>
        <w:tc>
          <w:tcPr>
            <w:shd w:fill="F7F9FC"/>
            <w:tcMar>
              <w:top w:w="100" w:type="dxa"/>
              <w:start w:w="120" w:type="dxa"/>
              <w:bottom w:w="100" w:type="dxa"/>
              <w:end w:w="120" w:type="dxa"/>
            </w:tcMar>
          </w:tcPr>
          <w:p>
            <w:pPr>
              <w:pStyle w:val="Normal"/>
            </w:pPr>
            <w:r>
              <w:t xml:space="preserve">Controlador, guards, DTO y base real de prueba</w:t>
            </w:r>
          </w:p>
        </w:tc>
        <w:tc>
          <w:tcPr>
            <w:shd w:fill="F7F9FC"/>
            <w:tcMar>
              <w:top w:w="100" w:type="dxa"/>
              <w:start w:w="120" w:type="dxa"/>
              <w:bottom w:w="100" w:type="dxa"/>
              <w:end w:w="120" w:type="dxa"/>
            </w:tcMar>
          </w:tcPr>
          <w:p>
            <w:pPr>
              <w:pStyle w:val="Normal"/>
            </w:pPr>
            <w:r>
              <w:t xml:space="preserve">PATCH /users/:id y status HTTP</w:t>
            </w:r>
          </w:p>
        </w:tc>
      </w:tr>
      <w:tr>
        <w:tc>
          <w:tcPr>
            <w:shd w:fill="DCE6F1"/>
            <w:tcMar>
              <w:top w:w="100" w:type="dxa"/>
              <w:start w:w="120" w:type="dxa"/>
              <w:bottom w:w="100" w:type="dxa"/>
              <w:end w:w="120" w:type="dxa"/>
            </w:tcMar>
          </w:tcPr>
          <w:p>
            <w:pPr>
              <w:pStyle w:val="Normal"/>
            </w:pPr>
            <w:r>
              <w:rPr>
                <w:b/>
              </w:rPr>
              <w:t xml:space="preserve">Frontend</w:t>
            </w:r>
          </w:p>
        </w:tc>
        <w:tc>
          <w:tcPr>
            <w:shd w:fill="F7F9FC"/>
            <w:tcMar>
              <w:top w:w="100" w:type="dxa"/>
              <w:start w:w="120" w:type="dxa"/>
              <w:bottom w:w="100" w:type="dxa"/>
              <w:end w:w="120" w:type="dxa"/>
            </w:tcMar>
          </w:tcPr>
          <w:p>
            <w:pPr>
              <w:pStyle w:val="Normal"/>
            </w:pPr>
            <w:r>
              <w:t xml:space="preserve">Validación, payload y estados de interfaz</w:t>
            </w:r>
          </w:p>
        </w:tc>
        <w:tc>
          <w:tcPr>
            <w:shd w:fill="F7F9FC"/>
            <w:tcMar>
              <w:top w:w="100" w:type="dxa"/>
              <w:start w:w="120" w:type="dxa"/>
              <w:bottom w:w="100" w:type="dxa"/>
              <w:end w:w="120" w:type="dxa"/>
            </w:tcMar>
          </w:tcPr>
          <w:p>
            <w:pPr>
              <w:pStyle w:val="Normal"/>
            </w:pPr>
            <w:r>
              <w:t xml:space="preserve">Campos permitidos, éxito, error y actualización visible</w:t>
            </w:r>
          </w:p>
        </w:tc>
      </w:tr>
      <w:tr>
        <w:tc>
          <w:tcPr>
            <w:shd w:fill="DCE6F1"/>
            <w:tcMar>
              <w:top w:w="100" w:type="dxa"/>
              <w:start w:w="120" w:type="dxa"/>
              <w:bottom w:w="100" w:type="dxa"/>
              <w:end w:w="120" w:type="dxa"/>
            </w:tcMar>
          </w:tcPr>
          <w:p>
            <w:pPr>
              <w:pStyle w:val="Normal"/>
            </w:pPr>
            <w:r>
              <w:rPr>
                <w:b/>
              </w:rPr>
              <w:t xml:space="preserve">Extremo a extremo</w:t>
            </w:r>
          </w:p>
        </w:tc>
        <w:tc>
          <w:tcPr>
            <w:shd w:fill="F7F9FC"/>
            <w:tcMar>
              <w:top w:w="100" w:type="dxa"/>
              <w:start w:w="120" w:type="dxa"/>
              <w:bottom w:w="100" w:type="dxa"/>
              <w:end w:w="120" w:type="dxa"/>
            </w:tcMar>
          </w:tcPr>
          <w:p>
            <w:pPr>
              <w:pStyle w:val="Normal"/>
            </w:pPr>
            <w:r>
              <w:t xml:space="preserve">Flujo desde sesión hasta persistencia y respuesta</w:t>
            </w:r>
          </w:p>
        </w:tc>
        <w:tc>
          <w:tcPr>
            <w:shd w:fill="F7F9FC"/>
            <w:tcMar>
              <w:top w:w="100" w:type="dxa"/>
              <w:start w:w="120" w:type="dxa"/>
              <w:bottom w:w="100" w:type="dxa"/>
              <w:end w:w="120" w:type="dxa"/>
            </w:tcMar>
          </w:tcPr>
          <w:p>
            <w:pPr>
              <w:pStyle w:val="Normal"/>
            </w:pPr>
            <w:r>
              <w:t xml:space="preserve">Administrador cambia rol dentro de su conjunto</w:t>
            </w:r>
          </w:p>
        </w:tc>
      </w:tr>
    </w:tbl>
    <w:p>
      <w:pPr>
        <w:pStyle w:val="Normal"/>
      </w:pPr>
      <w:r>
        <w:t xml:space="preserve">Durante la preparación de este documento se inspeccionó el código y la configuración, pero no se ejecutaron las pruebas ni se consultó una base de datos. Por tanto, no se reportan métricas de cobertura, aprobaciones de pipeline ni resultados de ejecución.</w:t>
      </w:r>
    </w:p>
    <w:p>
      <w:pPr>
        <w:pStyle w:val="Heading2"/>
      </w:pPr>
      <w:r>
        <w:t xml:space="preserve">8. Evaluación frente al objetivo académico</w:t>
      </w:r>
    </w:p>
    <w:p>
      <w:pPr>
        <w:pStyle w:val="Normal"/>
      </w:pPr>
      <w:r>
        <w:t xml:space="preserve">La solución sí implementa frameworks de aplicación, separación de responsabilidades, acceso relacional mediante ORM, DTO, operaciones CRUD en dominios como usuarios y visitantes, y controles de acceso. Los patrones de diseño observables son principalmente arquitectónicos y de organización: cliente-servidor, módulos por dominio, capas, DTO e inyección de dependencias; también se emplean transacciones y guards. La evidencia es compatible con el objetivo de estructurar una aplicación mantenible, segura y comprobable.</w:t>
      </w:r>
    </w:p>
    <w:p>
      <w:pPr>
        <w:pStyle w:val="Normal"/>
      </w:pPr>
      <w:r>
        <w:t xml:space="preserve">Para completar la entrega académica se recomienda: (a) leer y citar el referente de pensamiento obligatorio del curso, que no fue proporcionado; (b) registrar los nombres reales del equipo de tres estudiantes; (c) ejecutar las suites y adjuntar salida reproducible; (d) ampliar pruebas de integración multi-tenant y de cambios de rol; (e) documentar despliegue, copias de seguridad y recuperación; y (f) preparar un paquete de código seguro que incluya migraciones y scripts pero excluya secretos, dependencias generadas y datos personales reales. El esquema contiene migraciones en el backend; no se verificó una exportación completa de base de datos ni se creó un archivo comprimido para este informe.</w:t>
      </w:r>
    </w:p>
    <w:p>
      <w:pPr>
        <w:pStyle w:val="Heading1"/>
      </w:pPr>
      <w:r>
        <w:t xml:space="preserve">Conclusiones</w:t>
      </w:r>
    </w:p>
    <w:p>
      <w:pPr>
        <w:pStyle w:val="Normal"/>
      </w:pPr>
      <w:r>
        <w:t xml:space="preserve">Minuta Digital presenta una separación clara entre el cliente React y una API NestJS organizada en módulos funcionales. La capa de controladores, los servicios de dominio, DTO y Prisma Client distinguen responsabilidades y facilitan evolución y pruebas. La solución se describe con mayor precisión como una aplicación cliente-servidor con backend modular y separación por capas, en lugar de atribuirle un MVC clásico o microservicios que el código no evidencia.</w:t>
      </w:r>
    </w:p>
    <w:p>
      <w:pPr>
        <w:pStyle w:val="Normal"/>
      </w:pPr>
      <w:r>
        <w:t xml:space="preserve">La persistencia se basa en PostgreSQL y un esquema relacional Prisma compartido. El contexto de conjunto residencial se representa en los datos y en el JWT, y las consultas de usuarios aplican filtros de alcance; los guards y la jerarquía de roles complementan el aislamiento. Como cualquier control multi-tenant, su garantía depende de que cada endpoint aplique consistentemente el contexto y de pruebas adversariales entre organizaciones y conjuntos.</w:t>
      </w:r>
    </w:p>
    <w:p>
      <w:pPr>
        <w:pStyle w:val="Normal"/>
      </w:pPr>
      <w:r>
        <w:t xml:space="preserve">El backend incluye mecanismos concretos de seguridad y consistencia: hashing de contraseñas y tokens, validación global, guards, transacciones para invitaciones y compensación ante fallo de correo. También existen suites unitarias significativas, aunque este análisis no ejecutó pruebas y no puede asegurar su estado actual. Antes de declarar calidad verificada se deben ejecutar unitarias, integración y extremo a extremo, medir cobertura y demostrar que los intentos fuera del ámbito fallan de forma segura.</w:t>
      </w:r>
    </w:p>
    <w:p>
      <w:pPr>
        <w:pStyle w:val="Normal"/>
      </w:pPr>
      <w:r>
        <w:t xml:space="preserve">Finalmente, la actividad evidencia la aplicación de frameworks y patrones útiles para calidad, seguridad y fiabilidad, pero la documentación académica y de operación puede fortalecerse con resultados de pruebas, plan de respaldos, observabilidad, manejo de incidentes y un artefacto de entrega sin secretos.</w:t>
      </w:r>
    </w:p>
    <w:p>
      <w:pPr>
        <w:pStyle w:val="Heading1"/>
      </w:pPr>
      <w:r>
        <w:t xml:space="preserve">Referencias</w:t>
      </w:r>
    </w:p>
    <w:p>
      <w:pPr>
        <w:pStyle w:val="Normal"/>
        <w:ind w:hanging="720"/>
      </w:pPr>
      <w:r>
        <w:t xml:space="preserve">Fowler, M. (2002). Patterns of enterprise application architecture. Addison-Wesley.</w:t>
      </w:r>
    </w:p>
    <w:p>
      <w:pPr>
        <w:pStyle w:val="Normal"/>
        <w:ind w:hanging="720"/>
      </w:pPr>
      <w:r>
        <w:t xml:space="preserve">Gamma, E., Helm, R., Johnson, R., &amp; Vlissides, J. (1994). Design patterns: Elements of reusable object-oriented software. Addison-Wesley.</w:t>
      </w:r>
    </w:p>
    <w:p>
      <w:pPr>
        <w:pStyle w:val="Normal"/>
        <w:ind w:hanging="720"/>
      </w:pPr>
      <w:r>
        <w:t xml:space="preserve">NestJS. (s. f.-a). Providers. Recuperado el 27 de septiembre de 2026, de https://docs.nestjs.com/providers</w:t>
      </w:r>
    </w:p>
    <w:p>
      <w:pPr>
        <w:pStyle w:val="Normal"/>
        <w:ind w:hanging="720"/>
      </w:pPr>
      <w:r>
        <w:t xml:space="preserve">NestJS. (s. f.-b). Modules. Recuperado el 27 de septiembre de 2026, de https://docs.nestjs.com/modules</w:t>
      </w:r>
    </w:p>
    <w:p>
      <w:pPr>
        <w:pStyle w:val="Normal"/>
        <w:ind w:hanging="720"/>
      </w:pPr>
      <w:r>
        <w:t xml:space="preserve">OWASP Foundation. (s. f.). Authorization cheat sheet. Recuperado el 27 de septiembre de 2026, de https://cheatsheetseries.owasp.org/cheatsheets/Authorization_Cheat_Sheet.html</w:t>
      </w:r>
    </w:p>
    <w:p>
      <w:pPr>
        <w:pStyle w:val="Normal"/>
        <w:ind w:hanging="720"/>
      </w:pPr>
      <w:r>
        <w:t xml:space="preserve">Prisma. (s. f.). Prisma schema: Overview. Recuperado el 27 de septiembre de 2026, de https://docs.prisma.io/docs/orm/prisma-schema/overview</w:t>
      </w:r>
    </w:p>
    <w:p>
      <w:pPr>
        <w:pStyle w:val="Normal"/>
        <w:ind w:hanging="720"/>
      </w:pPr>
      <w:r>
        <w:t xml:space="preserve">React. (s. f.). Quick start. Recuperado el 27 de septiembre de 2026, de https://react.dev/learn</w:t>
      </w:r>
    </w:p>
    <w:sectPr>
      <w:headerReference xmlns:r="http://schemas.openxmlformats.org/officeDocument/2006/relationships" w:type="default" r:id="rId2"/>
      <w:pgSz w:w="12240" w:h="15840"/>
      <w:pgMar w:top="1440" w:right="1440" w:bottom="1440" w:left="1440" w:header="720" w:footer="720" w:gutter="0"/>
    </w:sectPr>
  </w:body>
</w:document>
</file>

<file path=word/header1.xml><?xml version="1.0" encoding="utf-8"?>
<w:hdr xmlns:w="http://schemas.openxmlformats.org/wordprocessingml/2006/main">
  <w:p>
    <w:pPr>
      <w:jc w:val="right"/>
    </w:pPr>
    <w:r>
      <w:fldChar w:fldCharType="begin"/>
    </w:r>
    <w:r>
      <w:instrText xml:space="preserve"> PAGE </w:instrText>
    </w:r>
    <w:r>
      <w:fldChar w:fldCharType="end"/>
    </w:r>
  </w:p>
</w:hdr>
</file>

<file path=word/styles.xml><?xml version="1.0" encoding="utf-8"?>
<w:styles xmlns:w="http://schemas.openxmlformats.org/wordprocessingml/2006/main">
  <w:docDefaults>
    <w:rPrDefault>
      <w:rPr>
        <w:rFonts w:ascii="Times New Roman" w:hAnsi="Times New Roman"/>
        <w:sz w:val="24"/>
      </w:rPr>
    </w:rPrDefault>
    <w:pPrDefault>
      <w:pPr>
        <w:spacing w:after="0" w:line="480" w:lineRule="auto"/>
      </w:pPr>
    </w:pPrDefault>
  </w:docDefaults>
  <w:style w:type="paragraph" w:default="1" w:styleId="Normal">
    <w:name w:val="Normal"/>
    <w:rPr>
      <w:rFonts w:ascii="Times New Roman" w:hAnsi="Times New Roman"/>
      <w:sz w:val="24"/>
    </w:rPr>
  </w:style>
  <w:style w:type="paragraph" w:styleId="Heading1">
    <w:name w:val="heading 1"/>
    <w:basedOn w:val="Normal"/>
    <w:pPr>
      <w:keepNext/>
      <w:jc w:val="center"/>
      <w:spacing w:before="240" w:after="0" w:line="480" w:lineRule="auto"/>
    </w:pPr>
    <w:rPr>
      <w:b/>
      <w:sz w:val="24"/>
    </w:rPr>
  </w:style>
  <w:style w:type="paragraph" w:styleId="Heading2">
    <w:name w:val="heading 2"/>
    <w:basedOn w:val="Normal"/>
    <w:pPr>
      <w:keepNext/>
      <w:spacing w:before="240" w:after="0" w:line="480" w:lineRule="auto"/>
    </w:pPr>
    <w:rPr>
      <w:b/>
      <w:sz w:val="24"/>
    </w:rPr>
  </w:style>
  <w:style w:type="paragraph" w:styleId="Heading3">
    <w:name w:val="heading 3"/>
    <w:basedOn w:val="Normal"/>
    <w:pPr>
      <w:keepNext/>
      <w:spacing w:before="180" w:after="0" w:line="480" w:lineRule="auto"/>
    </w:pPr>
    <w:rPr>
      <w:b/>
      <w:i/>
      <w:sz w:val="24"/>
    </w:rPr>
  </w:style>
  <w:style w:type="paragraph" w:styleId="Subtitle">
    <w:name w:val="Subtitle"/>
    <w:basedOn w:val="Normal"/>
    <w:pPr>
      <w:jc w:val="center"/>
    </w:pPr>
    <w:rPr>
      <w:sz w:val="24"/>
    </w:rPr>
  </w:style>
  <w:style w:type="paragraph" w:styleId="Caption">
    <w:name w:val="Caption"/>
    <w:basedOn w:val="Normal"/>
    <w:pPr>
      <w:keepNext/>
      <w:spacing w:before="120" w:after="0"/>
    </w:pPr>
    <w:rPr>
      <w:i/>
      <w:sz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s>
</file>