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C18E" w14:textId="326BCEB0" w:rsidR="00433245" w:rsidRPr="00433245" w:rsidRDefault="00433245" w:rsidP="00433245">
      <w:pPr>
        <w:pStyle w:val="Akapitzlist"/>
        <w:numPr>
          <w:ilvl w:val="0"/>
          <w:numId w:val="1"/>
        </w:numPr>
        <w:rPr>
          <w:b/>
          <w:bCs/>
          <w:noProof/>
          <w:lang w:val="pl-PL"/>
        </w:rPr>
      </w:pPr>
      <w:r w:rsidRPr="00433245">
        <w:rPr>
          <w:b/>
          <w:bCs/>
          <w:noProof/>
          <w:lang w:val="pl-PL"/>
        </w:rPr>
        <w:t>Analiza zagrożeń (Threat Model</w:t>
      </w:r>
      <w:r w:rsidR="00C9166B">
        <w:rPr>
          <w:b/>
          <w:bCs/>
          <w:noProof/>
          <w:lang w:val="pl-PL"/>
        </w:rPr>
        <w:t>l</w:t>
      </w:r>
      <w:r w:rsidRPr="00433245">
        <w:rPr>
          <w:b/>
          <w:bCs/>
          <w:noProof/>
          <w:lang w:val="pl-PL"/>
        </w:rPr>
        <w:t>ing)</w:t>
      </w:r>
    </w:p>
    <w:p w14:paraId="78723363" w14:textId="5EB3985B" w:rsidR="00433245" w:rsidRDefault="00433245">
      <w:pPr>
        <w:rPr>
          <w:noProof/>
          <w:lang w:val="pl-PL"/>
        </w:rPr>
      </w:pPr>
      <w:r w:rsidRPr="00433245">
        <w:rPr>
          <w:noProof/>
          <w:lang w:val="pl-PL"/>
        </w:rPr>
        <w:t>Przygotuj prosty diagram przykładowej aplikacji (np. sklep internetowy, bankowość online, portal społecznościowy).</w:t>
      </w:r>
      <w:r w:rsidRPr="00433245">
        <w:rPr>
          <w:noProof/>
          <w:lang w:val="pl-PL"/>
        </w:rPr>
        <w:br/>
      </w:r>
      <w:r w:rsidRPr="00433245">
        <w:rPr>
          <w:b/>
          <w:bCs/>
          <w:noProof/>
          <w:lang w:val="pl-PL"/>
        </w:rPr>
        <w:t>Zadanie:</w:t>
      </w:r>
      <w:r w:rsidRPr="00433245">
        <w:rPr>
          <w:noProof/>
          <w:lang w:val="pl-PL"/>
        </w:rPr>
        <w:t xml:space="preserve"> zaznacz, które elementy są narażone na ataki (np. logowanie, koszyk, API).</w:t>
      </w:r>
      <w:r w:rsidRPr="00433245">
        <w:rPr>
          <w:noProof/>
          <w:lang w:val="pl-PL"/>
        </w:rPr>
        <w:br/>
      </w:r>
      <w:r w:rsidRPr="00433245">
        <w:rPr>
          <w:b/>
          <w:bCs/>
          <w:noProof/>
          <w:lang w:val="pl-PL"/>
        </w:rPr>
        <w:t>Cel:</w:t>
      </w:r>
      <w:r w:rsidRPr="00433245">
        <w:rPr>
          <w:noProof/>
          <w:lang w:val="pl-PL"/>
        </w:rPr>
        <w:t xml:space="preserve"> zrozumienie, że każde wejście do aplikacji to potencjalny punkt ataku.</w:t>
      </w:r>
    </w:p>
    <w:p w14:paraId="172B59DA" w14:textId="0EF9A2D7" w:rsidR="00433245" w:rsidRPr="00433245" w:rsidRDefault="00433245" w:rsidP="00433245">
      <w:pPr>
        <w:pStyle w:val="Akapitzlist"/>
        <w:numPr>
          <w:ilvl w:val="0"/>
          <w:numId w:val="1"/>
        </w:numPr>
        <w:rPr>
          <w:b/>
          <w:bCs/>
          <w:noProof/>
          <w:lang w:val="pl-PL"/>
        </w:rPr>
      </w:pPr>
      <w:r w:rsidRPr="00433245">
        <w:rPr>
          <w:b/>
          <w:bCs/>
          <w:noProof/>
          <w:lang w:val="pl-PL"/>
        </w:rPr>
        <w:t>Źródło architektury (jak została wybrana)</w:t>
      </w:r>
    </w:p>
    <w:p w14:paraId="7522BA30" w14:textId="6A674D4F" w:rsidR="00433245" w:rsidRPr="00433245" w:rsidRDefault="00433245" w:rsidP="00433245">
      <w:pPr>
        <w:rPr>
          <w:noProof/>
          <w:lang w:val="pl-PL"/>
        </w:rPr>
      </w:pPr>
      <w:r w:rsidRPr="00433245">
        <w:rPr>
          <w:noProof/>
          <w:lang w:val="pl-PL"/>
        </w:rPr>
        <w:t xml:space="preserve">Do przygotowania przykładowej architektury aplikacji webowej skorzystałem z </w:t>
      </w:r>
      <w:hyperlink r:id="rId5" w:history="1">
        <w:r w:rsidRPr="00433245">
          <w:rPr>
            <w:rStyle w:val="Hipercze"/>
            <w:b/>
            <w:bCs/>
            <w:noProof/>
            <w:lang w:val="pl-PL"/>
          </w:rPr>
          <w:t>Microsoft Azure Architecture Center</w:t>
        </w:r>
      </w:hyperlink>
      <w:r w:rsidRPr="00433245">
        <w:rPr>
          <w:noProof/>
          <w:lang w:val="pl-PL"/>
        </w:rPr>
        <w:t>. Spośród dostępnych wzorców referencyjnych wybrałem wariant oparty o:</w:t>
      </w:r>
    </w:p>
    <w:p w14:paraId="504DB3E7" w14:textId="77777777" w:rsidR="00433245" w:rsidRPr="00D264FF" w:rsidRDefault="00433245" w:rsidP="00D264FF">
      <w:pPr>
        <w:pStyle w:val="Akapitzlist"/>
        <w:numPr>
          <w:ilvl w:val="0"/>
          <w:numId w:val="8"/>
        </w:numPr>
        <w:rPr>
          <w:noProof/>
          <w:lang w:val="pl-PL"/>
        </w:rPr>
      </w:pPr>
      <w:r w:rsidRPr="00D264FF">
        <w:rPr>
          <w:b/>
          <w:bCs/>
          <w:noProof/>
          <w:lang w:val="pl-PL"/>
        </w:rPr>
        <w:t>Topologię hub–spoke w Azure</w:t>
      </w:r>
      <w:r w:rsidRPr="00D264FF">
        <w:rPr>
          <w:noProof/>
          <w:lang w:val="pl-PL"/>
        </w:rPr>
        <w:t xml:space="preserve"> z rozdzieleniem usług wspólnych i warstw aplikacyjnych.</w:t>
      </w:r>
    </w:p>
    <w:p w14:paraId="4FFB977C" w14:textId="77777777" w:rsidR="00433245" w:rsidRPr="00D264FF" w:rsidRDefault="00433245" w:rsidP="00D264FF">
      <w:pPr>
        <w:pStyle w:val="Akapitzlist"/>
        <w:numPr>
          <w:ilvl w:val="0"/>
          <w:numId w:val="8"/>
        </w:numPr>
        <w:rPr>
          <w:noProof/>
          <w:lang w:val="pl-PL"/>
        </w:rPr>
      </w:pPr>
      <w:r w:rsidRPr="00D264FF">
        <w:rPr>
          <w:b/>
          <w:bCs/>
          <w:noProof/>
          <w:lang w:val="pl-PL"/>
        </w:rPr>
        <w:t>Warstwę krawędzi (edge)</w:t>
      </w:r>
      <w:r w:rsidRPr="00D264FF">
        <w:rPr>
          <w:noProof/>
          <w:lang w:val="pl-PL"/>
        </w:rPr>
        <w:t xml:space="preserve">: usługa typu </w:t>
      </w:r>
      <w:r w:rsidRPr="00D264FF">
        <w:rPr>
          <w:b/>
          <w:bCs/>
          <w:noProof/>
          <w:lang w:val="pl-PL"/>
        </w:rPr>
        <w:t>WAF/Front Door/App Gateway</w:t>
      </w:r>
      <w:r w:rsidRPr="00D264FF">
        <w:rPr>
          <w:noProof/>
          <w:lang w:val="pl-PL"/>
        </w:rPr>
        <w:t xml:space="preserve"> do terminacji TLS, filtrowania i routingu.</w:t>
      </w:r>
    </w:p>
    <w:p w14:paraId="01EF3F7A" w14:textId="77777777" w:rsidR="00433245" w:rsidRPr="00D264FF" w:rsidRDefault="00433245" w:rsidP="00D264FF">
      <w:pPr>
        <w:pStyle w:val="Akapitzlist"/>
        <w:numPr>
          <w:ilvl w:val="0"/>
          <w:numId w:val="8"/>
        </w:numPr>
        <w:rPr>
          <w:noProof/>
          <w:lang w:val="pl-PL"/>
        </w:rPr>
      </w:pPr>
      <w:r w:rsidRPr="00D264FF">
        <w:rPr>
          <w:b/>
          <w:bCs/>
          <w:noProof/>
          <w:lang w:val="pl-PL"/>
        </w:rPr>
        <w:t>Uwierzytelnianie w Microsoft Entra ID</w:t>
      </w:r>
      <w:r w:rsidRPr="00D264FF">
        <w:rPr>
          <w:noProof/>
          <w:lang w:val="pl-PL"/>
        </w:rPr>
        <w:t xml:space="preserve"> (OIDC/OAuth2) dla użytkowników oraz </w:t>
      </w:r>
      <w:r w:rsidRPr="00D264FF">
        <w:rPr>
          <w:b/>
          <w:bCs/>
          <w:noProof/>
          <w:lang w:val="pl-PL"/>
        </w:rPr>
        <w:t>Managed Identity</w:t>
      </w:r>
      <w:r w:rsidRPr="00D264FF">
        <w:rPr>
          <w:noProof/>
          <w:lang w:val="pl-PL"/>
        </w:rPr>
        <w:t xml:space="preserve"> dla usług.</w:t>
      </w:r>
    </w:p>
    <w:p w14:paraId="5262CD1D" w14:textId="77777777" w:rsidR="00433245" w:rsidRPr="00433245" w:rsidRDefault="00433245" w:rsidP="00D264FF">
      <w:pPr>
        <w:pStyle w:val="Akapitzlist"/>
        <w:numPr>
          <w:ilvl w:val="0"/>
          <w:numId w:val="8"/>
        </w:numPr>
        <w:rPr>
          <w:noProof/>
        </w:rPr>
      </w:pPr>
      <w:r w:rsidRPr="00D264FF">
        <w:rPr>
          <w:b/>
          <w:bCs/>
          <w:noProof/>
        </w:rPr>
        <w:t>Warstwę danych PaaS</w:t>
      </w:r>
      <w:r w:rsidRPr="00433245">
        <w:rPr>
          <w:noProof/>
        </w:rPr>
        <w:t xml:space="preserve"> (np. Azure SQL/Storage/Cache) z </w:t>
      </w:r>
      <w:r w:rsidRPr="00D264FF">
        <w:rPr>
          <w:b/>
          <w:bCs/>
          <w:noProof/>
        </w:rPr>
        <w:t>Private Endpoints</w:t>
      </w:r>
      <w:r w:rsidRPr="00433245">
        <w:rPr>
          <w:noProof/>
        </w:rPr>
        <w:t xml:space="preserve"> i </w:t>
      </w:r>
      <w:r w:rsidRPr="00D264FF">
        <w:rPr>
          <w:b/>
          <w:bCs/>
          <w:noProof/>
        </w:rPr>
        <w:t>Private DNS</w:t>
      </w:r>
      <w:r w:rsidRPr="00433245">
        <w:rPr>
          <w:noProof/>
        </w:rPr>
        <w:t>.</w:t>
      </w:r>
    </w:p>
    <w:p w14:paraId="3363A84E" w14:textId="77777777" w:rsidR="00433245" w:rsidRPr="00D264FF" w:rsidRDefault="00433245" w:rsidP="00D264FF">
      <w:pPr>
        <w:pStyle w:val="Akapitzlist"/>
        <w:numPr>
          <w:ilvl w:val="0"/>
          <w:numId w:val="8"/>
        </w:numPr>
        <w:rPr>
          <w:noProof/>
          <w:lang w:val="pl-PL"/>
        </w:rPr>
      </w:pPr>
      <w:r w:rsidRPr="00D264FF">
        <w:rPr>
          <w:b/>
          <w:bCs/>
          <w:noProof/>
          <w:lang w:val="pl-PL"/>
        </w:rPr>
        <w:t>Key Vault</w:t>
      </w:r>
      <w:r w:rsidRPr="00D264FF">
        <w:rPr>
          <w:noProof/>
          <w:lang w:val="pl-PL"/>
        </w:rPr>
        <w:t xml:space="preserve"> do zarządzania sekretami/kluczami/certyfikatami.</w:t>
      </w:r>
    </w:p>
    <w:p w14:paraId="113C8FDB" w14:textId="7E89AF16" w:rsidR="00433245" w:rsidRPr="00D264FF" w:rsidRDefault="00433245" w:rsidP="00D264FF">
      <w:pPr>
        <w:pStyle w:val="Akapitzlist"/>
        <w:numPr>
          <w:ilvl w:val="0"/>
          <w:numId w:val="8"/>
        </w:numPr>
        <w:rPr>
          <w:noProof/>
          <w:lang w:val="pl-PL"/>
        </w:rPr>
      </w:pPr>
      <w:r w:rsidRPr="00D264FF">
        <w:rPr>
          <w:b/>
          <w:bCs/>
          <w:noProof/>
          <w:lang w:val="pl-PL"/>
        </w:rPr>
        <w:t>region zapasowy (DR)</w:t>
      </w:r>
      <w:r w:rsidRPr="00D264FF">
        <w:rPr>
          <w:noProof/>
          <w:lang w:val="pl-PL"/>
        </w:rPr>
        <w:t xml:space="preserve"> dla ciągłości działania.</w:t>
      </w:r>
    </w:p>
    <w:p w14:paraId="5B677E07" w14:textId="5A297E11" w:rsidR="00433245" w:rsidRDefault="00433245" w:rsidP="00433245">
      <w:pPr>
        <w:rPr>
          <w:noProof/>
          <w:lang w:val="pl-PL"/>
        </w:rPr>
      </w:pPr>
      <w:r>
        <w:rPr>
          <w:noProof/>
          <w:lang w:val="pl-PL"/>
        </w:rPr>
        <w:t xml:space="preserve">Postanowiłem skorzystać z gotowej architektury Microsoft, ponieważ </w:t>
      </w:r>
      <w:r w:rsidRPr="00433245">
        <w:rPr>
          <w:noProof/>
          <w:lang w:val="pl-PL"/>
        </w:rPr>
        <w:t>jest to szeroko stosowany, dobrze udokumentowany i egzaminowalny wzorzec dla nowoczesnych aplikacji webowych, który pozwala łatwo zilustrować strefy bezpieczeństwa oraz główne punkty wejścia.</w:t>
      </w:r>
    </w:p>
    <w:p w14:paraId="64BF33B4" w14:textId="5D6BB7C3" w:rsidR="00D264FF" w:rsidRDefault="00D264FF" w:rsidP="00D264FF">
      <w:pPr>
        <w:pStyle w:val="Akapitzlist"/>
        <w:numPr>
          <w:ilvl w:val="0"/>
          <w:numId w:val="1"/>
        </w:numPr>
        <w:rPr>
          <w:b/>
          <w:bCs/>
          <w:noProof/>
          <w:lang w:val="pl-PL"/>
        </w:rPr>
      </w:pPr>
      <w:r w:rsidRPr="00D264FF">
        <w:rPr>
          <w:b/>
          <w:bCs/>
          <w:noProof/>
          <w:lang w:val="pl-PL"/>
        </w:rPr>
        <w:t>Opis diagramu architektury</w:t>
      </w:r>
    </w:p>
    <w:p w14:paraId="7348CA12" w14:textId="77777777" w:rsidR="00D264FF" w:rsidRDefault="00D264FF" w:rsidP="00D264FF">
      <w:pPr>
        <w:keepNext/>
      </w:pPr>
      <w:r>
        <w:rPr>
          <w:noProof/>
          <w:lang w:val="pl-PL"/>
        </w:rPr>
        <w:lastRenderedPageBreak/>
        <w:drawing>
          <wp:inline distT="0" distB="0" distL="0" distR="0" wp14:anchorId="1B0F4173" wp14:editId="71A9B93B">
            <wp:extent cx="5910261" cy="3956644"/>
            <wp:effectExtent l="0" t="0" r="0" b="6350"/>
            <wp:docPr id="617918105" name="Obraz 2" descr="Obraz zawierający tekst, zrzut ekranu, diagram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18105" name="Obraz 2" descr="Obraz zawierający tekst, zrzut ekranu, diagram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067" cy="3978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B46844" w14:textId="262EE212" w:rsidR="00D264FF" w:rsidRPr="00D264FF" w:rsidRDefault="00D264FF" w:rsidP="00D264FF">
      <w:pPr>
        <w:pStyle w:val="Legenda"/>
        <w:jc w:val="center"/>
        <w:rPr>
          <w:b/>
          <w:bCs/>
          <w:noProof/>
          <w:lang w:val="pl-PL"/>
        </w:rPr>
      </w:pPr>
      <w:r w:rsidRPr="00D264FF">
        <w:rPr>
          <w:lang w:val="pl-PL"/>
        </w:rPr>
        <w:t xml:space="preserve">Rysunek </w:t>
      </w:r>
      <w:r>
        <w:fldChar w:fldCharType="begin"/>
      </w:r>
      <w:r w:rsidRPr="00D264FF">
        <w:rPr>
          <w:lang w:val="pl-PL"/>
        </w:rPr>
        <w:instrText xml:space="preserve"> SEQ Rysunek \* ARABIC </w:instrText>
      </w:r>
      <w:r>
        <w:fldChar w:fldCharType="separate"/>
      </w:r>
      <w:r w:rsidR="00254505">
        <w:rPr>
          <w:noProof/>
          <w:lang w:val="pl-PL"/>
        </w:rPr>
        <w:t>1</w:t>
      </w:r>
      <w:r>
        <w:fldChar w:fldCharType="end"/>
      </w:r>
      <w:r w:rsidRPr="00D264FF">
        <w:rPr>
          <w:lang w:val="pl-PL"/>
        </w:rPr>
        <w:t xml:space="preserve"> - Architecture diagram ilustrujący wybraną architekturę</w:t>
      </w:r>
    </w:p>
    <w:p w14:paraId="162F70F0" w14:textId="77777777" w:rsidR="00D264FF" w:rsidRPr="00D264FF" w:rsidRDefault="00D264FF" w:rsidP="00D264FF">
      <w:pPr>
        <w:rPr>
          <w:noProof/>
          <w:lang w:val="pl-PL"/>
        </w:rPr>
      </w:pPr>
      <w:r w:rsidRPr="00D264FF">
        <w:rPr>
          <w:noProof/>
          <w:lang w:val="pl-PL"/>
        </w:rPr>
        <w:t>Poniżej opis elementów występujących na diagramie referencyjnym oraz ich roli.</w:t>
      </w:r>
    </w:p>
    <w:p w14:paraId="34FC4912" w14:textId="77777777" w:rsidR="00D264FF" w:rsidRPr="00D264FF" w:rsidRDefault="00D264FF" w:rsidP="00D264FF">
      <w:pPr>
        <w:pStyle w:val="Akapitzlist"/>
        <w:numPr>
          <w:ilvl w:val="0"/>
          <w:numId w:val="7"/>
        </w:numPr>
        <w:rPr>
          <w:noProof/>
          <w:lang w:val="pl-PL"/>
        </w:rPr>
      </w:pPr>
      <w:r w:rsidRPr="00D264FF">
        <w:rPr>
          <w:b/>
          <w:bCs/>
          <w:noProof/>
          <w:lang w:val="pl-PL"/>
        </w:rPr>
        <w:t>Klient (przeglądarka / urządzenie użytkownika):</w:t>
      </w:r>
      <w:r w:rsidRPr="00D264FF">
        <w:rPr>
          <w:noProof/>
          <w:lang w:val="pl-PL"/>
        </w:rPr>
        <w:t xml:space="preserve"> łączy się z publicznym adresatorem usługi po HTTPS.</w:t>
      </w:r>
    </w:p>
    <w:p w14:paraId="4D8C0431" w14:textId="77777777" w:rsidR="00D264FF" w:rsidRPr="00D264FF" w:rsidRDefault="00D264FF" w:rsidP="00D264FF">
      <w:pPr>
        <w:pStyle w:val="Akapitzlist"/>
        <w:numPr>
          <w:ilvl w:val="0"/>
          <w:numId w:val="7"/>
        </w:numPr>
        <w:rPr>
          <w:noProof/>
          <w:lang w:val="pl-PL"/>
        </w:rPr>
      </w:pPr>
      <w:r w:rsidRPr="00D264FF">
        <w:rPr>
          <w:b/>
          <w:bCs/>
          <w:noProof/>
          <w:lang w:val="pl-PL"/>
        </w:rPr>
        <w:t>DNS publiczny:</w:t>
      </w:r>
      <w:r w:rsidRPr="00D264FF">
        <w:rPr>
          <w:noProof/>
          <w:lang w:val="pl-PL"/>
        </w:rPr>
        <w:t xml:space="preserve"> rozwiązuje nazwę domenową aplikacji na publiczny endpoint warstwy krawędzi.</w:t>
      </w:r>
    </w:p>
    <w:p w14:paraId="0F899EAD" w14:textId="77777777" w:rsidR="00D264FF" w:rsidRPr="00D264FF" w:rsidRDefault="00D264FF" w:rsidP="00D264FF">
      <w:pPr>
        <w:pStyle w:val="Akapitzlist"/>
        <w:numPr>
          <w:ilvl w:val="0"/>
          <w:numId w:val="7"/>
        </w:numPr>
        <w:rPr>
          <w:noProof/>
        </w:rPr>
      </w:pPr>
      <w:r w:rsidRPr="00D264FF">
        <w:rPr>
          <w:b/>
          <w:bCs/>
          <w:noProof/>
        </w:rPr>
        <w:t>Warstwa krawędzi (Edge – WAF/Front Door/App Gateway):</w:t>
      </w:r>
      <w:r w:rsidRPr="00D264FF">
        <w:rPr>
          <w:noProof/>
        </w:rPr>
        <w:t xml:space="preserve"> terminacja TLS, ochrona L7 (WAF), polityki routingu oraz rate limiting.</w:t>
      </w:r>
    </w:p>
    <w:p w14:paraId="2D990247" w14:textId="77777777" w:rsidR="00D264FF" w:rsidRPr="00D264FF" w:rsidRDefault="00D264FF" w:rsidP="00D264FF">
      <w:pPr>
        <w:pStyle w:val="Akapitzlist"/>
        <w:numPr>
          <w:ilvl w:val="0"/>
          <w:numId w:val="7"/>
        </w:numPr>
        <w:rPr>
          <w:noProof/>
          <w:lang w:val="pl-PL"/>
        </w:rPr>
      </w:pPr>
      <w:r w:rsidRPr="00D264FF">
        <w:rPr>
          <w:b/>
          <w:bCs/>
          <w:noProof/>
          <w:lang w:val="pl-PL"/>
        </w:rPr>
        <w:t>Hub VNet:</w:t>
      </w:r>
      <w:r w:rsidRPr="00D264FF">
        <w:rPr>
          <w:noProof/>
          <w:lang w:val="pl-PL"/>
        </w:rPr>
        <w:t xml:space="preserve"> wspólne usługi sieciowe, trasy UDR, firewall/inspekcja ruchu, ewentualny NAT dla wyjść.</w:t>
      </w:r>
    </w:p>
    <w:p w14:paraId="61F936CE" w14:textId="77777777" w:rsidR="00D264FF" w:rsidRPr="00D264FF" w:rsidRDefault="00D264FF" w:rsidP="00D264FF">
      <w:pPr>
        <w:pStyle w:val="Akapitzlist"/>
        <w:numPr>
          <w:ilvl w:val="0"/>
          <w:numId w:val="7"/>
        </w:numPr>
        <w:rPr>
          <w:noProof/>
        </w:rPr>
      </w:pPr>
      <w:r w:rsidRPr="00D264FF">
        <w:rPr>
          <w:b/>
          <w:bCs/>
          <w:noProof/>
          <w:lang w:val="pl-PL"/>
        </w:rPr>
        <w:t>Spoke VNet (Aplikacja/API):</w:t>
      </w:r>
      <w:r w:rsidRPr="00D264FF">
        <w:rPr>
          <w:noProof/>
          <w:lang w:val="pl-PL"/>
        </w:rPr>
        <w:t xml:space="preserve"> front</w:t>
      </w:r>
      <w:r w:rsidRPr="00D264FF">
        <w:rPr>
          <w:noProof/>
          <w:lang w:val="pl-PL"/>
        </w:rPr>
        <w:noBreakHyphen/>
        <w:t xml:space="preserve">end i/lub mikrousługi API uruchomione jako PaaS/IaaS (np. </w:t>
      </w:r>
      <w:r w:rsidRPr="00D264FF">
        <w:rPr>
          <w:noProof/>
        </w:rPr>
        <w:t>App Service/AKS/VM Scale Sets).</w:t>
      </w:r>
    </w:p>
    <w:p w14:paraId="30B874F2" w14:textId="77777777" w:rsidR="00D264FF" w:rsidRPr="00D264FF" w:rsidRDefault="00D264FF" w:rsidP="00D264FF">
      <w:pPr>
        <w:pStyle w:val="Akapitzlist"/>
        <w:numPr>
          <w:ilvl w:val="0"/>
          <w:numId w:val="7"/>
        </w:numPr>
        <w:rPr>
          <w:noProof/>
          <w:lang w:val="pl-PL"/>
        </w:rPr>
      </w:pPr>
      <w:r w:rsidRPr="00D264FF">
        <w:rPr>
          <w:b/>
          <w:bCs/>
          <w:noProof/>
          <w:lang w:val="pl-PL"/>
        </w:rPr>
        <w:t>Warstwa danych:</w:t>
      </w:r>
      <w:r w:rsidRPr="00D264FF">
        <w:rPr>
          <w:noProof/>
          <w:lang w:val="pl-PL"/>
        </w:rPr>
        <w:t xml:space="preserve"> bazy (np. Azure SQL/NoSQL), storage (Blob/Files), cache (Redis) – dostępne wyłącznie przez </w:t>
      </w:r>
      <w:r w:rsidRPr="00D264FF">
        <w:rPr>
          <w:b/>
          <w:bCs/>
          <w:noProof/>
          <w:lang w:val="pl-PL"/>
        </w:rPr>
        <w:t>Private Endpoints</w:t>
      </w:r>
      <w:r w:rsidRPr="00D264FF">
        <w:rPr>
          <w:noProof/>
          <w:lang w:val="pl-PL"/>
        </w:rPr>
        <w:t>.</w:t>
      </w:r>
    </w:p>
    <w:p w14:paraId="2F6B4846" w14:textId="213E08B4" w:rsidR="00D264FF" w:rsidRPr="00D264FF" w:rsidRDefault="00D264FF" w:rsidP="00D264FF">
      <w:pPr>
        <w:pStyle w:val="Akapitzlist"/>
        <w:numPr>
          <w:ilvl w:val="0"/>
          <w:numId w:val="7"/>
        </w:numPr>
        <w:rPr>
          <w:noProof/>
        </w:rPr>
      </w:pPr>
      <w:r w:rsidRPr="00D264FF">
        <w:rPr>
          <w:b/>
          <w:bCs/>
          <w:noProof/>
        </w:rPr>
        <w:t>Microsoft Entra ID:</w:t>
      </w:r>
      <w:r w:rsidRPr="00D264FF">
        <w:rPr>
          <w:noProof/>
        </w:rPr>
        <w:t xml:space="preserve"> tożsamość użytkowników i usług</w:t>
      </w:r>
      <w:r>
        <w:rPr>
          <w:noProof/>
        </w:rPr>
        <w:t>,</w:t>
      </w:r>
      <w:r w:rsidRPr="00D264FF">
        <w:rPr>
          <w:noProof/>
        </w:rPr>
        <w:t xml:space="preserve"> wydaje tokeny (OIDC/OAuth2), Conditional Access.</w:t>
      </w:r>
    </w:p>
    <w:p w14:paraId="41C06F89" w14:textId="3DE08A99" w:rsidR="00D264FF" w:rsidRPr="00D264FF" w:rsidRDefault="00D264FF" w:rsidP="00D264FF">
      <w:pPr>
        <w:pStyle w:val="Akapitzlist"/>
        <w:numPr>
          <w:ilvl w:val="0"/>
          <w:numId w:val="7"/>
        </w:numPr>
        <w:rPr>
          <w:noProof/>
          <w:lang w:val="pl-PL"/>
        </w:rPr>
      </w:pPr>
      <w:r w:rsidRPr="00D264FF">
        <w:rPr>
          <w:b/>
          <w:bCs/>
          <w:noProof/>
          <w:lang w:val="pl-PL"/>
        </w:rPr>
        <w:t>Key Vault:</w:t>
      </w:r>
      <w:r w:rsidRPr="00D264FF">
        <w:rPr>
          <w:noProof/>
          <w:lang w:val="pl-PL"/>
        </w:rPr>
        <w:t xml:space="preserve"> repozytorium sekretów/kluczy/certyfikatów </w:t>
      </w:r>
      <w:r w:rsidRPr="00D264FF">
        <w:rPr>
          <w:noProof/>
          <w:lang w:val="pl-PL"/>
        </w:rPr>
        <w:t>-</w:t>
      </w:r>
      <w:r w:rsidRPr="00D264FF">
        <w:rPr>
          <w:noProof/>
          <w:lang w:val="pl-PL"/>
        </w:rPr>
        <w:t xml:space="preserve"> używane przez aplikację i pipeline’y CI/CD.</w:t>
      </w:r>
    </w:p>
    <w:p w14:paraId="0E83A6E6" w14:textId="77777777" w:rsidR="00D264FF" w:rsidRPr="00D264FF" w:rsidRDefault="00D264FF" w:rsidP="00D264FF">
      <w:pPr>
        <w:pStyle w:val="Akapitzlist"/>
        <w:numPr>
          <w:ilvl w:val="0"/>
          <w:numId w:val="7"/>
        </w:numPr>
        <w:rPr>
          <w:noProof/>
          <w:lang w:val="pl-PL"/>
        </w:rPr>
      </w:pPr>
      <w:r w:rsidRPr="00D264FF">
        <w:rPr>
          <w:b/>
          <w:bCs/>
          <w:noProof/>
          <w:lang w:val="pl-PL"/>
        </w:rPr>
        <w:lastRenderedPageBreak/>
        <w:t>DevOps Subnet (CI/CD):</w:t>
      </w:r>
      <w:r w:rsidRPr="00D264FF">
        <w:rPr>
          <w:noProof/>
          <w:lang w:val="pl-PL"/>
        </w:rPr>
        <w:t xml:space="preserve"> agenci, pipeline’y i połączenia serwisowe do subskrypcji (deployment IaC/artefaktów).</w:t>
      </w:r>
    </w:p>
    <w:p w14:paraId="6BA68E02" w14:textId="77777777" w:rsidR="00D264FF" w:rsidRPr="00D264FF" w:rsidRDefault="00D264FF" w:rsidP="00D264FF">
      <w:pPr>
        <w:pStyle w:val="Akapitzlist"/>
        <w:numPr>
          <w:ilvl w:val="0"/>
          <w:numId w:val="7"/>
        </w:numPr>
        <w:rPr>
          <w:noProof/>
          <w:lang w:val="pl-PL"/>
        </w:rPr>
      </w:pPr>
      <w:r w:rsidRPr="00D264FF">
        <w:rPr>
          <w:b/>
          <w:bCs/>
          <w:noProof/>
          <w:lang w:val="pl-PL"/>
        </w:rPr>
        <w:t>Region DR:</w:t>
      </w:r>
      <w:r w:rsidRPr="00D264FF">
        <w:rPr>
          <w:noProof/>
          <w:lang w:val="pl-PL"/>
        </w:rPr>
        <w:t xml:space="preserve"> replikacje danych i konfiguracji; możliwość przełączenia ruchu (failover).</w:t>
      </w:r>
    </w:p>
    <w:p w14:paraId="6FA2D55D" w14:textId="0440538D" w:rsidR="00D264FF" w:rsidRPr="00D264FF" w:rsidRDefault="00D264FF" w:rsidP="00D264FF">
      <w:pPr>
        <w:pStyle w:val="Akapitzlist"/>
        <w:numPr>
          <w:ilvl w:val="0"/>
          <w:numId w:val="1"/>
        </w:numPr>
        <w:rPr>
          <w:b/>
          <w:bCs/>
          <w:noProof/>
          <w:lang w:val="pl-PL"/>
        </w:rPr>
      </w:pPr>
      <w:r w:rsidRPr="00D264FF">
        <w:rPr>
          <w:b/>
          <w:bCs/>
          <w:noProof/>
          <w:lang w:val="pl-PL"/>
        </w:rPr>
        <w:t>Przepływy (high</w:t>
      </w:r>
      <w:r w:rsidRPr="00D264FF">
        <w:rPr>
          <w:b/>
          <w:bCs/>
          <w:noProof/>
          <w:lang w:val="pl-PL"/>
        </w:rPr>
        <w:noBreakHyphen/>
        <w:t>level)</w:t>
      </w:r>
    </w:p>
    <w:p w14:paraId="54E04DB1" w14:textId="68B0626F" w:rsidR="00D264FF" w:rsidRPr="00D264FF" w:rsidRDefault="00D264FF" w:rsidP="00D264FF">
      <w:pPr>
        <w:pStyle w:val="Akapitzlist"/>
        <w:numPr>
          <w:ilvl w:val="0"/>
          <w:numId w:val="6"/>
        </w:numPr>
        <w:rPr>
          <w:noProof/>
          <w:lang w:val="pl-PL"/>
        </w:rPr>
      </w:pPr>
      <w:r w:rsidRPr="00D264FF">
        <w:rPr>
          <w:noProof/>
          <w:lang w:val="pl-PL"/>
        </w:rPr>
        <w:t>Użytkownik → Edge (WAF) → Aplikacja w Spoke (HTTPS/TLS)</w:t>
      </w:r>
    </w:p>
    <w:p w14:paraId="3C115159" w14:textId="53FE953F" w:rsidR="00D264FF" w:rsidRPr="00D264FF" w:rsidRDefault="00D264FF" w:rsidP="00D264FF">
      <w:pPr>
        <w:pStyle w:val="Akapitzlist"/>
        <w:numPr>
          <w:ilvl w:val="0"/>
          <w:numId w:val="6"/>
        </w:numPr>
        <w:rPr>
          <w:noProof/>
          <w:lang w:val="pl-PL"/>
        </w:rPr>
      </w:pPr>
      <w:r w:rsidRPr="00D264FF">
        <w:rPr>
          <w:noProof/>
          <w:lang w:val="pl-PL"/>
        </w:rPr>
        <w:t>Aplikacja → Entra ID (OIDC/OAuth2) – weryfikacja tożsamości, pozyskanie tokenów</w:t>
      </w:r>
    </w:p>
    <w:p w14:paraId="7F6A9932" w14:textId="0D140488" w:rsidR="00D264FF" w:rsidRPr="00D264FF" w:rsidRDefault="00D264FF" w:rsidP="00D264FF">
      <w:pPr>
        <w:pStyle w:val="Akapitzlist"/>
        <w:numPr>
          <w:ilvl w:val="0"/>
          <w:numId w:val="6"/>
        </w:numPr>
        <w:rPr>
          <w:noProof/>
        </w:rPr>
      </w:pPr>
      <w:r w:rsidRPr="00D264FF">
        <w:rPr>
          <w:noProof/>
        </w:rPr>
        <w:t>Aplikacja (z Managed Identity) → Key Vault/DB/Storage przez Private Endpoint (bez publicznego Internetu)</w:t>
      </w:r>
    </w:p>
    <w:p w14:paraId="37841983" w14:textId="0849AA39" w:rsidR="00D264FF" w:rsidRPr="00D264FF" w:rsidRDefault="00D264FF" w:rsidP="00D264FF">
      <w:pPr>
        <w:pStyle w:val="Akapitzlist"/>
        <w:numPr>
          <w:ilvl w:val="0"/>
          <w:numId w:val="6"/>
        </w:numPr>
        <w:rPr>
          <w:noProof/>
          <w:lang w:val="pl-PL"/>
        </w:rPr>
      </w:pPr>
      <w:r w:rsidRPr="00D264FF">
        <w:rPr>
          <w:noProof/>
          <w:lang w:val="pl-PL"/>
        </w:rPr>
        <w:t>DevOps → subskrypcja (deploy IaC/konfiguracje), rotacja sekretów/certyfikatów</w:t>
      </w:r>
    </w:p>
    <w:p w14:paraId="5A5A90D0" w14:textId="77777777" w:rsidR="00DB18DE" w:rsidRDefault="00D264FF" w:rsidP="00DB18DE">
      <w:pPr>
        <w:pStyle w:val="Akapitzlist"/>
        <w:numPr>
          <w:ilvl w:val="0"/>
          <w:numId w:val="6"/>
        </w:numPr>
        <w:rPr>
          <w:noProof/>
          <w:lang w:val="pl-PL"/>
        </w:rPr>
      </w:pPr>
      <w:r w:rsidRPr="00D264FF">
        <w:rPr>
          <w:noProof/>
          <w:lang w:val="pl-PL"/>
        </w:rPr>
        <w:t>synchronizacja do Regionu DR</w:t>
      </w:r>
    </w:p>
    <w:p w14:paraId="3BECBC9F" w14:textId="6CE4F759" w:rsidR="00DB18DE" w:rsidRPr="00DB18DE" w:rsidRDefault="00DB18DE" w:rsidP="00DB18DE">
      <w:pPr>
        <w:pStyle w:val="Akapitzlist"/>
        <w:numPr>
          <w:ilvl w:val="0"/>
          <w:numId w:val="1"/>
        </w:numPr>
        <w:rPr>
          <w:b/>
          <w:bCs/>
          <w:noProof/>
          <w:lang w:val="pl-PL"/>
        </w:rPr>
      </w:pPr>
      <w:r w:rsidRPr="00DB18DE">
        <w:rPr>
          <w:b/>
          <w:bCs/>
          <w:noProof/>
          <w:lang w:val="pl-PL"/>
        </w:rPr>
        <w:t>Threat model</w:t>
      </w:r>
      <w:r w:rsidR="00C9166B">
        <w:rPr>
          <w:b/>
          <w:bCs/>
          <w:noProof/>
          <w:lang w:val="pl-PL"/>
        </w:rPr>
        <w:t>l</w:t>
      </w:r>
      <w:r w:rsidRPr="00DB18DE">
        <w:rPr>
          <w:b/>
          <w:bCs/>
          <w:noProof/>
          <w:lang w:val="pl-PL"/>
        </w:rPr>
        <w:t>ing</w:t>
      </w:r>
    </w:p>
    <w:p w14:paraId="040CFDE0" w14:textId="26F20120" w:rsidR="00DB18DE" w:rsidRPr="00DB18DE" w:rsidRDefault="00DB18DE" w:rsidP="00DB18DE">
      <w:pPr>
        <w:ind w:firstLine="720"/>
        <w:rPr>
          <w:b/>
          <w:bCs/>
          <w:noProof/>
          <w:lang w:val="pl-PL"/>
        </w:rPr>
      </w:pPr>
      <w:r w:rsidRPr="00DB18DE">
        <w:rPr>
          <w:b/>
          <w:bCs/>
          <w:noProof/>
          <w:lang w:val="pl-PL"/>
        </w:rPr>
        <w:t xml:space="preserve">5.1 </w:t>
      </w:r>
      <w:r>
        <w:rPr>
          <w:b/>
          <w:bCs/>
          <w:noProof/>
          <w:lang w:val="pl-PL"/>
        </w:rPr>
        <w:t xml:space="preserve">Jak rozumiem </w:t>
      </w:r>
      <w:r w:rsidRPr="00DB18DE">
        <w:rPr>
          <w:b/>
          <w:bCs/>
          <w:noProof/>
          <w:lang w:val="pl-PL"/>
        </w:rPr>
        <w:t>threat model</w:t>
      </w:r>
      <w:r w:rsidR="00C9166B">
        <w:rPr>
          <w:b/>
          <w:bCs/>
          <w:noProof/>
          <w:lang w:val="pl-PL"/>
        </w:rPr>
        <w:t>l</w:t>
      </w:r>
      <w:r w:rsidRPr="00DB18DE">
        <w:rPr>
          <w:b/>
          <w:bCs/>
          <w:noProof/>
          <w:lang w:val="pl-PL"/>
        </w:rPr>
        <w:t>ing</w:t>
      </w:r>
      <w:r>
        <w:rPr>
          <w:b/>
          <w:bCs/>
          <w:noProof/>
          <w:lang w:val="pl-PL"/>
        </w:rPr>
        <w:t>?</w:t>
      </w:r>
    </w:p>
    <w:p w14:paraId="2BC4D756" w14:textId="77777777" w:rsidR="00DB18DE" w:rsidRDefault="00DB18DE" w:rsidP="00DB18DE">
      <w:pPr>
        <w:rPr>
          <w:noProof/>
          <w:lang w:val="pl-PL"/>
        </w:rPr>
      </w:pPr>
      <w:r>
        <w:rPr>
          <w:b/>
          <w:bCs/>
          <w:noProof/>
          <w:lang w:val="pl-PL"/>
        </w:rPr>
        <w:t>S</w:t>
      </w:r>
      <w:r w:rsidRPr="00DB18DE">
        <w:rPr>
          <w:b/>
          <w:bCs/>
          <w:noProof/>
          <w:lang w:val="pl-PL"/>
        </w:rPr>
        <w:t>ystematyczna identyfikacja</w:t>
      </w:r>
      <w:r w:rsidRPr="00DB18DE">
        <w:rPr>
          <w:noProof/>
          <w:lang w:val="pl-PL"/>
        </w:rPr>
        <w:t xml:space="preserve"> zagrożeń dla systemu na podstawie jego architektury, przepływów danych i decyzji projektowych. </w:t>
      </w:r>
    </w:p>
    <w:p w14:paraId="5CC865EE" w14:textId="77777777" w:rsidR="00DB18DE" w:rsidRDefault="00DB18DE" w:rsidP="00DB18DE">
      <w:pPr>
        <w:rPr>
          <w:noProof/>
          <w:lang w:val="pl-PL"/>
        </w:rPr>
      </w:pPr>
      <w:r w:rsidRPr="00DB18DE">
        <w:rPr>
          <w:b/>
          <w:bCs/>
          <w:noProof/>
          <w:lang w:val="pl-PL"/>
        </w:rPr>
        <w:t>Cel:</w:t>
      </w:r>
      <w:r w:rsidRPr="00DB18DE">
        <w:rPr>
          <w:noProof/>
          <w:lang w:val="pl-PL"/>
        </w:rPr>
        <w:t xml:space="preserve"> wiedzieć </w:t>
      </w:r>
      <w:r w:rsidRPr="00DB18DE">
        <w:rPr>
          <w:i/>
          <w:iCs/>
          <w:noProof/>
          <w:lang w:val="pl-PL"/>
        </w:rPr>
        <w:t>co może pójść źle</w:t>
      </w:r>
      <w:r w:rsidRPr="00DB18DE">
        <w:rPr>
          <w:noProof/>
          <w:lang w:val="pl-PL"/>
        </w:rPr>
        <w:t xml:space="preserve">, </w:t>
      </w:r>
      <w:r w:rsidRPr="00DB18DE">
        <w:rPr>
          <w:i/>
          <w:iCs/>
          <w:noProof/>
          <w:lang w:val="pl-PL"/>
        </w:rPr>
        <w:t>gdzie</w:t>
      </w:r>
      <w:r w:rsidRPr="00DB18DE">
        <w:rPr>
          <w:noProof/>
          <w:lang w:val="pl-PL"/>
        </w:rPr>
        <w:t xml:space="preserve">, </w:t>
      </w:r>
      <w:r w:rsidRPr="00DB18DE">
        <w:rPr>
          <w:i/>
          <w:iCs/>
          <w:noProof/>
          <w:lang w:val="pl-PL"/>
        </w:rPr>
        <w:t>z jakim skutkiem</w:t>
      </w:r>
      <w:r w:rsidRPr="00DB18DE">
        <w:rPr>
          <w:noProof/>
          <w:lang w:val="pl-PL"/>
        </w:rPr>
        <w:t xml:space="preserve"> i </w:t>
      </w:r>
      <w:r w:rsidRPr="00DB18DE">
        <w:rPr>
          <w:i/>
          <w:iCs/>
          <w:noProof/>
          <w:lang w:val="pl-PL"/>
        </w:rPr>
        <w:t>jak temu przeciwdziałać</w:t>
      </w:r>
      <w:r w:rsidRPr="00DB18DE">
        <w:rPr>
          <w:noProof/>
          <w:lang w:val="pl-PL"/>
        </w:rPr>
        <w:t xml:space="preserve">. </w:t>
      </w:r>
    </w:p>
    <w:p w14:paraId="01743340" w14:textId="3985CAF8" w:rsidR="00DB18DE" w:rsidRPr="00DB18DE" w:rsidRDefault="00DB18DE" w:rsidP="00DB18DE">
      <w:pPr>
        <w:rPr>
          <w:noProof/>
          <w:lang w:val="pl-PL"/>
        </w:rPr>
      </w:pPr>
      <w:r w:rsidRPr="00DB18DE">
        <w:rPr>
          <w:noProof/>
          <w:lang w:val="pl-PL"/>
        </w:rPr>
        <w:t xml:space="preserve">W raporcie pracujemy w ujęciu </w:t>
      </w:r>
      <w:r w:rsidRPr="00DB18DE">
        <w:rPr>
          <w:b/>
          <w:bCs/>
          <w:noProof/>
          <w:lang w:val="pl-PL"/>
        </w:rPr>
        <w:t>grey</w:t>
      </w:r>
      <w:r w:rsidRPr="00DB18DE">
        <w:rPr>
          <w:b/>
          <w:bCs/>
          <w:noProof/>
          <w:lang w:val="pl-PL"/>
        </w:rPr>
        <w:noBreakHyphen/>
        <w:t>box</w:t>
      </w:r>
      <w:r w:rsidRPr="00DB18DE">
        <w:rPr>
          <w:noProof/>
          <w:lang w:val="pl-PL"/>
        </w:rPr>
        <w:t xml:space="preserve"> (znamy diagram i główne technologie, nie znamy każdej konfiguracji i reguł).</w:t>
      </w:r>
    </w:p>
    <w:p w14:paraId="3B5A472B" w14:textId="77777777" w:rsidR="00DB18DE" w:rsidRPr="00DB18DE" w:rsidRDefault="00DB18DE" w:rsidP="00DB18DE">
      <w:pPr>
        <w:ind w:firstLine="720"/>
        <w:rPr>
          <w:b/>
          <w:bCs/>
          <w:noProof/>
          <w:lang w:val="pl-PL"/>
        </w:rPr>
      </w:pPr>
      <w:r w:rsidRPr="00DB18DE">
        <w:rPr>
          <w:b/>
          <w:bCs/>
          <w:noProof/>
          <w:lang w:val="pl-PL"/>
        </w:rPr>
        <w:t>5.2 Założenia robocze (grey</w:t>
      </w:r>
      <w:r w:rsidRPr="00DB18DE">
        <w:rPr>
          <w:b/>
          <w:bCs/>
          <w:noProof/>
          <w:lang w:val="pl-PL"/>
        </w:rPr>
        <w:noBreakHyphen/>
        <w:t>box)</w:t>
      </w:r>
    </w:p>
    <w:p w14:paraId="11690AED" w14:textId="0D01AF13" w:rsidR="00DB18DE" w:rsidRPr="00DB18DE" w:rsidRDefault="00DB18DE" w:rsidP="00DB18DE">
      <w:pPr>
        <w:numPr>
          <w:ilvl w:val="0"/>
          <w:numId w:val="9"/>
        </w:numPr>
        <w:rPr>
          <w:noProof/>
          <w:lang w:val="pl-PL"/>
        </w:rPr>
      </w:pPr>
      <w:r w:rsidRPr="00DB18DE">
        <w:rPr>
          <w:noProof/>
          <w:lang w:val="pl-PL"/>
        </w:rPr>
        <w:t xml:space="preserve">Brak pełnej konfiguracji (WAF/NSG/CA/RBAC) </w:t>
      </w:r>
      <w:r>
        <w:rPr>
          <w:noProof/>
          <w:lang w:val="pl-PL"/>
        </w:rPr>
        <w:t>-</w:t>
      </w:r>
      <w:r w:rsidRPr="00DB18DE">
        <w:rPr>
          <w:noProof/>
          <w:lang w:val="pl-PL"/>
        </w:rPr>
        <w:t xml:space="preserve"> bazujemy na </w:t>
      </w:r>
      <w:r>
        <w:rPr>
          <w:b/>
          <w:bCs/>
          <w:noProof/>
          <w:lang w:val="pl-PL"/>
        </w:rPr>
        <w:t>architecture diagram</w:t>
      </w:r>
      <w:r w:rsidRPr="00DB18DE">
        <w:rPr>
          <w:noProof/>
          <w:lang w:val="pl-PL"/>
        </w:rPr>
        <w:t xml:space="preserve"> i domyślnych założeniach bezpieczeństwa chmury.</w:t>
      </w:r>
    </w:p>
    <w:p w14:paraId="05D4D276" w14:textId="77777777" w:rsidR="00DB18DE" w:rsidRPr="00DB18DE" w:rsidRDefault="00DB18DE" w:rsidP="00DB18DE">
      <w:pPr>
        <w:numPr>
          <w:ilvl w:val="0"/>
          <w:numId w:val="9"/>
        </w:numPr>
        <w:rPr>
          <w:noProof/>
          <w:lang w:val="pl-PL"/>
        </w:rPr>
      </w:pPr>
      <w:r w:rsidRPr="00DB18DE">
        <w:rPr>
          <w:noProof/>
          <w:lang w:val="pl-PL"/>
        </w:rPr>
        <w:t xml:space="preserve">Aplikacja web/API wystawiona publicznie przez komponent </w:t>
      </w:r>
      <w:r w:rsidRPr="00DB18DE">
        <w:rPr>
          <w:b/>
          <w:bCs/>
          <w:noProof/>
          <w:lang w:val="pl-PL"/>
        </w:rPr>
        <w:t>Edge (WAF/Front Door/App Gateway)</w:t>
      </w:r>
      <w:r w:rsidRPr="00DB18DE">
        <w:rPr>
          <w:noProof/>
          <w:lang w:val="pl-PL"/>
        </w:rPr>
        <w:t>.</w:t>
      </w:r>
    </w:p>
    <w:p w14:paraId="509A9A5C" w14:textId="77777777" w:rsidR="00DB18DE" w:rsidRPr="00DB18DE" w:rsidRDefault="00DB18DE" w:rsidP="00DB18DE">
      <w:pPr>
        <w:numPr>
          <w:ilvl w:val="0"/>
          <w:numId w:val="9"/>
        </w:numPr>
        <w:rPr>
          <w:noProof/>
          <w:lang w:val="pl-PL"/>
        </w:rPr>
      </w:pPr>
      <w:r w:rsidRPr="00DB18DE">
        <w:rPr>
          <w:noProof/>
          <w:lang w:val="pl-PL"/>
        </w:rPr>
        <w:t xml:space="preserve">Warstwa danych i sekrety w usługach PaaS (DB/Storage/Key Vault), dostęp do nich z aplikacji przez </w:t>
      </w:r>
      <w:r w:rsidRPr="00DB18DE">
        <w:rPr>
          <w:b/>
          <w:bCs/>
          <w:noProof/>
          <w:lang w:val="pl-PL"/>
        </w:rPr>
        <w:t>Managed Identity</w:t>
      </w:r>
      <w:r w:rsidRPr="00DB18DE">
        <w:rPr>
          <w:noProof/>
          <w:lang w:val="pl-PL"/>
        </w:rPr>
        <w:t>.</w:t>
      </w:r>
    </w:p>
    <w:p w14:paraId="56209CAE" w14:textId="14A620CE" w:rsidR="00DB18DE" w:rsidRPr="00DB18DE" w:rsidRDefault="00DB18DE" w:rsidP="00DB18DE">
      <w:pPr>
        <w:numPr>
          <w:ilvl w:val="0"/>
          <w:numId w:val="9"/>
        </w:numPr>
        <w:rPr>
          <w:noProof/>
          <w:lang w:val="pl-PL"/>
        </w:rPr>
      </w:pPr>
      <w:r w:rsidRPr="00DB18DE">
        <w:rPr>
          <w:noProof/>
          <w:lang w:val="pl-PL"/>
        </w:rPr>
        <w:t>CI/CD (DevOps subnet) wdraża infrastrukturę/aplikację, posiada ograniczone role i workload identity.</w:t>
      </w:r>
    </w:p>
    <w:p w14:paraId="17D2E300" w14:textId="0F24C520" w:rsidR="00982AAE" w:rsidRPr="00982AAE" w:rsidRDefault="00DB18DE" w:rsidP="00982AAE">
      <w:pPr>
        <w:numPr>
          <w:ilvl w:val="0"/>
          <w:numId w:val="9"/>
        </w:numPr>
        <w:rPr>
          <w:noProof/>
          <w:lang w:val="pl-PL"/>
        </w:rPr>
      </w:pPr>
      <w:r w:rsidRPr="00DB18DE">
        <w:rPr>
          <w:noProof/>
          <w:lang w:val="pl-PL"/>
        </w:rPr>
        <w:t xml:space="preserve">Uwierzytelnianie użytkowników przez </w:t>
      </w:r>
      <w:r w:rsidRPr="00DB18DE">
        <w:rPr>
          <w:b/>
          <w:bCs/>
          <w:noProof/>
          <w:lang w:val="pl-PL"/>
        </w:rPr>
        <w:t>Microsoft Entra ID</w:t>
      </w:r>
      <w:r w:rsidRPr="00DB18DE">
        <w:rPr>
          <w:noProof/>
          <w:lang w:val="pl-PL"/>
        </w:rPr>
        <w:t xml:space="preserve"> (OIDC/OAuth2), aplikacja korzysta z tokenów.</w:t>
      </w:r>
    </w:p>
    <w:p w14:paraId="27FBA7DE" w14:textId="7C63BAB9" w:rsidR="00982AAE" w:rsidRDefault="00982AAE" w:rsidP="00982AAE">
      <w:pPr>
        <w:ind w:left="720"/>
        <w:rPr>
          <w:b/>
          <w:bCs/>
          <w:noProof/>
          <w:lang w:val="pl-PL"/>
        </w:rPr>
      </w:pPr>
      <w:r w:rsidRPr="00982AAE">
        <w:rPr>
          <w:b/>
          <w:bCs/>
          <w:noProof/>
          <w:lang w:val="pl-PL"/>
        </w:rPr>
        <w:t xml:space="preserve">5.3 </w:t>
      </w:r>
      <w:r>
        <w:rPr>
          <w:b/>
          <w:bCs/>
          <w:noProof/>
          <w:lang w:val="pl-PL"/>
        </w:rPr>
        <w:t>Crown Jewels</w:t>
      </w:r>
    </w:p>
    <w:p w14:paraId="15028CA3" w14:textId="77D82A34" w:rsidR="00982AAE" w:rsidRDefault="00982AAE" w:rsidP="00982AAE">
      <w:pPr>
        <w:rPr>
          <w:noProof/>
          <w:lang w:val="pl-PL"/>
        </w:rPr>
      </w:pPr>
      <w:r w:rsidRPr="00982AAE">
        <w:rPr>
          <w:noProof/>
          <w:lang w:val="pl-PL"/>
        </w:rPr>
        <w:lastRenderedPageBreak/>
        <w:t xml:space="preserve">To </w:t>
      </w:r>
      <w:r w:rsidRPr="00982AAE">
        <w:rPr>
          <w:noProof/>
          <w:lang w:val="pl-PL"/>
        </w:rPr>
        <w:t>najcenniejsze aktywa systemu, których ujawnienie, modyfikacja lub utrata dostępności przyniosłaby największą szkodę (prawną, finansową, reputacyjną lub operacyjną). Poniższa lista odzwierciedla moją opinię na bazie dostarczonego diagramu i doświadczeń praktycznych</w:t>
      </w:r>
      <w:r>
        <w:rPr>
          <w:noProof/>
          <w:lang w:val="pl-PL"/>
        </w:rPr>
        <w:t>,</w:t>
      </w:r>
      <w:r w:rsidRPr="00982AAE">
        <w:rPr>
          <w:noProof/>
          <w:lang w:val="pl-PL"/>
        </w:rPr>
        <w:t xml:space="preserve"> aby </w:t>
      </w:r>
      <w:r w:rsidRPr="00982AAE">
        <w:rPr>
          <w:b/>
          <w:bCs/>
          <w:noProof/>
          <w:lang w:val="pl-PL"/>
        </w:rPr>
        <w:t>mieć pewność,</w:t>
      </w:r>
      <w:r w:rsidRPr="00982AAE">
        <w:rPr>
          <w:noProof/>
          <w:lang w:val="pl-PL"/>
        </w:rPr>
        <w:t xml:space="preserve"> </w:t>
      </w:r>
      <w:r w:rsidRPr="00982AAE">
        <w:rPr>
          <w:b/>
          <w:bCs/>
          <w:noProof/>
          <w:lang w:val="pl-PL"/>
        </w:rPr>
        <w:t>należałoby</w:t>
      </w:r>
      <w:r w:rsidRPr="00982AAE">
        <w:rPr>
          <w:noProof/>
          <w:lang w:val="pl-PL"/>
        </w:rPr>
        <w:t xml:space="preserve"> przeprowadzić analizę </w:t>
      </w:r>
      <w:r w:rsidRPr="00982AAE">
        <w:rPr>
          <w:b/>
          <w:bCs/>
          <w:noProof/>
          <w:lang w:val="pl-PL"/>
        </w:rPr>
        <w:t>BIA</w:t>
      </w:r>
      <w:r w:rsidRPr="00982AAE">
        <w:rPr>
          <w:noProof/>
          <w:lang w:val="pl-PL"/>
        </w:rPr>
        <w:t xml:space="preserve"> (Business Impact Analysis) i formalnie ocenić krytyczność.</w:t>
      </w:r>
    </w:p>
    <w:p w14:paraId="69E7603B" w14:textId="1765F399" w:rsidR="00982AAE" w:rsidRPr="00982AAE" w:rsidRDefault="00982AAE" w:rsidP="00982AAE">
      <w:pPr>
        <w:pStyle w:val="Akapitzlist"/>
        <w:numPr>
          <w:ilvl w:val="0"/>
          <w:numId w:val="9"/>
        </w:numPr>
        <w:rPr>
          <w:noProof/>
          <w:lang w:val="pl-PL"/>
        </w:rPr>
      </w:pPr>
      <w:r w:rsidRPr="00982AAE">
        <w:rPr>
          <w:b/>
          <w:bCs/>
          <w:noProof/>
          <w:lang w:val="pl-PL"/>
        </w:rPr>
        <w:t>Dane aplikacji w warstwie DB/Storage/Cache</w:t>
      </w:r>
      <w:r w:rsidRPr="00982AAE">
        <w:rPr>
          <w:noProof/>
          <w:lang w:val="pl-PL"/>
        </w:rPr>
        <w:t xml:space="preserve"> </w:t>
      </w:r>
      <w:r>
        <w:rPr>
          <w:noProof/>
          <w:lang w:val="pl-PL"/>
        </w:rPr>
        <w:t>-</w:t>
      </w:r>
      <w:r w:rsidRPr="00982AAE">
        <w:rPr>
          <w:noProof/>
          <w:lang w:val="pl-PL"/>
        </w:rPr>
        <w:t xml:space="preserve"> prawdopodobnie zawierają informacje użytkowników/operacyjne; ich wyciek lub utrata integralności to największe ryzyko.</w:t>
      </w:r>
    </w:p>
    <w:p w14:paraId="6C63B72F" w14:textId="16AF2E6F" w:rsidR="00982AAE" w:rsidRPr="00982AAE" w:rsidRDefault="00982AAE" w:rsidP="00982AAE">
      <w:pPr>
        <w:pStyle w:val="Akapitzlist"/>
        <w:numPr>
          <w:ilvl w:val="0"/>
          <w:numId w:val="9"/>
        </w:numPr>
        <w:rPr>
          <w:noProof/>
          <w:lang w:val="pl-PL"/>
        </w:rPr>
      </w:pPr>
      <w:r w:rsidRPr="00982AAE">
        <w:rPr>
          <w:b/>
          <w:bCs/>
          <w:noProof/>
          <w:lang w:val="pl-PL"/>
        </w:rPr>
        <w:t>Sekrety/klucze/certyfikaty w Key Vault</w:t>
      </w:r>
      <w:r w:rsidRPr="00982AAE">
        <w:rPr>
          <w:noProof/>
          <w:lang w:val="pl-PL"/>
        </w:rPr>
        <w:t xml:space="preserve"> </w:t>
      </w:r>
      <w:r>
        <w:rPr>
          <w:noProof/>
          <w:lang w:val="pl-PL"/>
        </w:rPr>
        <w:t>-</w:t>
      </w:r>
      <w:r w:rsidRPr="00982AAE">
        <w:rPr>
          <w:noProof/>
          <w:lang w:val="pl-PL"/>
        </w:rPr>
        <w:t xml:space="preserve"> „klucze do królestwa” umożliwiają dostęp do danych i usług, kompromis = przejęcie środowiska.</w:t>
      </w:r>
    </w:p>
    <w:p w14:paraId="48777AAA" w14:textId="7743AE01" w:rsidR="00982AAE" w:rsidRPr="00982AAE" w:rsidRDefault="00982AAE" w:rsidP="00982AAE">
      <w:pPr>
        <w:pStyle w:val="Akapitzlist"/>
        <w:numPr>
          <w:ilvl w:val="0"/>
          <w:numId w:val="9"/>
        </w:numPr>
        <w:rPr>
          <w:noProof/>
          <w:lang w:val="pl-PL"/>
        </w:rPr>
      </w:pPr>
      <w:r w:rsidRPr="00982AAE">
        <w:rPr>
          <w:b/>
          <w:bCs/>
          <w:noProof/>
          <w:lang w:val="pl-PL"/>
        </w:rPr>
        <w:t>Tożsamości i tokeny (Microsoft Entra ID, Managed Identity)</w:t>
      </w:r>
      <w:r w:rsidRPr="00982AAE">
        <w:rPr>
          <w:noProof/>
          <w:lang w:val="pl-PL"/>
        </w:rPr>
        <w:t xml:space="preserve"> </w:t>
      </w:r>
      <w:r>
        <w:rPr>
          <w:noProof/>
          <w:lang w:val="pl-PL"/>
        </w:rPr>
        <w:t>-</w:t>
      </w:r>
      <w:r w:rsidRPr="00982AAE">
        <w:rPr>
          <w:noProof/>
          <w:lang w:val="pl-PL"/>
        </w:rPr>
        <w:t xml:space="preserve"> centralny mechanizm autoryzacji</w:t>
      </w:r>
      <w:r>
        <w:rPr>
          <w:noProof/>
          <w:lang w:val="pl-PL"/>
        </w:rPr>
        <w:t>,</w:t>
      </w:r>
      <w:r w:rsidRPr="00982AAE">
        <w:rPr>
          <w:noProof/>
          <w:lang w:val="pl-PL"/>
        </w:rPr>
        <w:t xml:space="preserve"> ich przejęcie pozwala wejść w wiele innych aktywów.</w:t>
      </w:r>
    </w:p>
    <w:p w14:paraId="2AA99783" w14:textId="0E1208DC" w:rsidR="00982AAE" w:rsidRPr="00982AAE" w:rsidRDefault="00982AAE" w:rsidP="00982AAE">
      <w:pPr>
        <w:pStyle w:val="Akapitzlist"/>
        <w:numPr>
          <w:ilvl w:val="0"/>
          <w:numId w:val="9"/>
        </w:numPr>
        <w:rPr>
          <w:noProof/>
          <w:lang w:val="pl-PL"/>
        </w:rPr>
      </w:pPr>
      <w:r w:rsidRPr="00982AAE">
        <w:rPr>
          <w:b/>
          <w:bCs/>
          <w:noProof/>
          <w:lang w:val="pl-PL"/>
        </w:rPr>
        <w:t>Aplikacja (kod/konfiguracja runtime, App Settings)</w:t>
      </w:r>
      <w:r w:rsidRPr="00982AAE">
        <w:rPr>
          <w:noProof/>
          <w:lang w:val="pl-PL"/>
        </w:rPr>
        <w:t xml:space="preserve"> </w:t>
      </w:r>
      <w:r>
        <w:rPr>
          <w:noProof/>
          <w:lang w:val="pl-PL"/>
        </w:rPr>
        <w:t>-</w:t>
      </w:r>
      <w:r w:rsidRPr="00982AAE">
        <w:rPr>
          <w:noProof/>
          <w:lang w:val="pl-PL"/>
        </w:rPr>
        <w:t xml:space="preserve"> nośnik logiki biznesowej i punkt wejścia do danych</w:t>
      </w:r>
      <w:r>
        <w:rPr>
          <w:noProof/>
          <w:lang w:val="pl-PL"/>
        </w:rPr>
        <w:t>,</w:t>
      </w:r>
      <w:r w:rsidRPr="00982AAE">
        <w:rPr>
          <w:noProof/>
          <w:lang w:val="pl-PL"/>
        </w:rPr>
        <w:t xml:space="preserve"> kompromitacja = pivot do reszty.</w:t>
      </w:r>
    </w:p>
    <w:p w14:paraId="47264891" w14:textId="496752C4" w:rsidR="00982AAE" w:rsidRPr="00982AAE" w:rsidRDefault="00982AAE" w:rsidP="00982AAE">
      <w:pPr>
        <w:pStyle w:val="Akapitzlist"/>
        <w:numPr>
          <w:ilvl w:val="0"/>
          <w:numId w:val="9"/>
        </w:numPr>
        <w:rPr>
          <w:noProof/>
          <w:lang w:val="pl-PL"/>
        </w:rPr>
      </w:pPr>
      <w:r w:rsidRPr="00982AAE">
        <w:rPr>
          <w:b/>
          <w:bCs/>
          <w:noProof/>
          <w:lang w:val="pl-PL"/>
        </w:rPr>
        <w:t>Łańcuch CI/CD (definicje, połączenia serwisowe, artefakty)</w:t>
      </w:r>
      <w:r w:rsidRPr="00982AAE">
        <w:rPr>
          <w:noProof/>
          <w:lang w:val="pl-PL"/>
        </w:rPr>
        <w:t xml:space="preserve"> </w:t>
      </w:r>
      <w:r>
        <w:rPr>
          <w:noProof/>
          <w:lang w:val="pl-PL"/>
        </w:rPr>
        <w:t>-</w:t>
      </w:r>
      <w:r w:rsidRPr="00982AAE">
        <w:rPr>
          <w:noProof/>
          <w:lang w:val="pl-PL"/>
        </w:rPr>
        <w:t xml:space="preserve"> determinuje konfigurację </w:t>
      </w:r>
      <w:r>
        <w:rPr>
          <w:noProof/>
          <w:lang w:val="pl-PL"/>
        </w:rPr>
        <w:t>PROD,</w:t>
      </w:r>
      <w:r w:rsidRPr="00982AAE">
        <w:rPr>
          <w:noProof/>
          <w:lang w:val="pl-PL"/>
        </w:rPr>
        <w:t xml:space="preserve"> atak tu daje trwałą kontrolę nad systemem.</w:t>
      </w:r>
    </w:p>
    <w:p w14:paraId="22BAC38F" w14:textId="5775D84B" w:rsidR="00982AAE" w:rsidRPr="00982AAE" w:rsidRDefault="00982AAE" w:rsidP="00982AAE">
      <w:pPr>
        <w:pStyle w:val="Akapitzlist"/>
        <w:numPr>
          <w:ilvl w:val="0"/>
          <w:numId w:val="9"/>
        </w:numPr>
        <w:rPr>
          <w:noProof/>
          <w:lang w:val="pl-PL"/>
        </w:rPr>
      </w:pPr>
      <w:r w:rsidRPr="00982AAE">
        <w:rPr>
          <w:b/>
          <w:bCs/>
          <w:noProof/>
          <w:lang w:val="pl-PL"/>
        </w:rPr>
        <w:t>Kontrola sieci (NSG/UDR/Firewall/Private Endpoints/Private DNS)</w:t>
      </w:r>
      <w:r w:rsidRPr="00982AAE">
        <w:rPr>
          <w:noProof/>
          <w:lang w:val="pl-PL"/>
        </w:rPr>
        <w:t xml:space="preserve"> </w:t>
      </w:r>
      <w:r>
        <w:rPr>
          <w:noProof/>
          <w:lang w:val="pl-PL"/>
        </w:rPr>
        <w:t>-</w:t>
      </w:r>
      <w:r w:rsidRPr="00982AAE">
        <w:rPr>
          <w:noProof/>
          <w:lang w:val="pl-PL"/>
        </w:rPr>
        <w:t xml:space="preserve"> fundament izolacji</w:t>
      </w:r>
      <w:r>
        <w:rPr>
          <w:noProof/>
          <w:lang w:val="pl-PL"/>
        </w:rPr>
        <w:t>,</w:t>
      </w:r>
      <w:r w:rsidRPr="00982AAE">
        <w:rPr>
          <w:noProof/>
          <w:lang w:val="pl-PL"/>
        </w:rPr>
        <w:t xml:space="preserve"> błąd lub obejście = lateral movement i dane w niepowołane ręce.</w:t>
      </w:r>
    </w:p>
    <w:p w14:paraId="0E9A9689" w14:textId="6A02C5B7" w:rsidR="00982AAE" w:rsidRPr="00982AAE" w:rsidRDefault="00982AAE" w:rsidP="00982AAE">
      <w:pPr>
        <w:pStyle w:val="Akapitzlist"/>
        <w:numPr>
          <w:ilvl w:val="0"/>
          <w:numId w:val="9"/>
        </w:numPr>
        <w:rPr>
          <w:noProof/>
          <w:lang w:val="pl-PL"/>
        </w:rPr>
      </w:pPr>
      <w:r w:rsidRPr="00982AAE">
        <w:rPr>
          <w:b/>
          <w:bCs/>
          <w:noProof/>
          <w:lang w:val="pl-PL"/>
        </w:rPr>
        <w:t>Dzienniki/telemetria (centralny logging/diag)</w:t>
      </w:r>
      <w:r w:rsidRPr="00982AAE">
        <w:rPr>
          <w:noProof/>
          <w:lang w:val="pl-PL"/>
        </w:rPr>
        <w:t xml:space="preserve"> </w:t>
      </w:r>
      <w:r>
        <w:rPr>
          <w:noProof/>
          <w:lang w:val="pl-PL"/>
        </w:rPr>
        <w:t>-</w:t>
      </w:r>
      <w:r w:rsidRPr="00982AAE">
        <w:rPr>
          <w:noProof/>
          <w:lang w:val="pl-PL"/>
        </w:rPr>
        <w:t xml:space="preserve"> krytyczne dla detekcji i dochodzeń</w:t>
      </w:r>
      <w:r>
        <w:rPr>
          <w:noProof/>
          <w:lang w:val="pl-PL"/>
        </w:rPr>
        <w:t>,</w:t>
      </w:r>
      <w:r w:rsidRPr="00982AAE">
        <w:rPr>
          <w:noProof/>
          <w:lang w:val="pl-PL"/>
        </w:rPr>
        <w:t xml:space="preserve"> ich brak lub manipulacja ukrywa incydent.</w:t>
      </w:r>
    </w:p>
    <w:p w14:paraId="10F6C031" w14:textId="6537E460" w:rsidR="00982AAE" w:rsidRDefault="00DB18DE" w:rsidP="00982AAE">
      <w:pPr>
        <w:ind w:firstLine="720"/>
        <w:rPr>
          <w:b/>
          <w:bCs/>
          <w:noProof/>
          <w:lang w:val="pl-PL"/>
        </w:rPr>
      </w:pPr>
      <w:r w:rsidRPr="00DB18DE">
        <w:rPr>
          <w:b/>
          <w:bCs/>
          <w:noProof/>
          <w:lang w:val="pl-PL"/>
        </w:rPr>
        <w:t>5.</w:t>
      </w:r>
      <w:r w:rsidR="00982AAE">
        <w:rPr>
          <w:b/>
          <w:bCs/>
          <w:noProof/>
          <w:lang w:val="pl-PL"/>
        </w:rPr>
        <w:t>4</w:t>
      </w:r>
      <w:r w:rsidRPr="00DB18DE">
        <w:rPr>
          <w:b/>
          <w:bCs/>
          <w:noProof/>
          <w:lang w:val="pl-PL"/>
        </w:rPr>
        <w:t xml:space="preserve"> Punkty wejścia do aplikacji i systemu</w:t>
      </w:r>
    </w:p>
    <w:p w14:paraId="5AD423FE" w14:textId="6A3A7332" w:rsidR="00982AAE" w:rsidRPr="00982AAE" w:rsidRDefault="00982AAE" w:rsidP="00982AAE">
      <w:pPr>
        <w:rPr>
          <w:noProof/>
          <w:lang w:val="pl-PL"/>
        </w:rPr>
      </w:pPr>
      <w:r w:rsidRPr="00982AAE">
        <w:rPr>
          <w:noProof/>
          <w:lang w:val="pl-PL"/>
        </w:rPr>
        <w:t>Ta sekcja jest sercem raportu, bo precyzyjnie wskazuje miejsca, w których „obcy” ruch lub dane użytkownika wchodzą do naszego systemu. Każdy taki punkt to potencjalny wektor ataku: jeśli zawiedzie walidacja, autoryzacja albo limity, atakujący może uzyskać dostęp do zasobów chronionych (crown jewels) lub zbudować łańcuch prowadzący do eskalacji uprawnień.</w:t>
      </w:r>
    </w:p>
    <w:p w14:paraId="296668F6" w14:textId="0DA05037" w:rsidR="00F9287B" w:rsidRPr="00F9287B" w:rsidRDefault="00F9287B" w:rsidP="00F9287B">
      <w:pPr>
        <w:pStyle w:val="Akapitzlist"/>
        <w:numPr>
          <w:ilvl w:val="0"/>
          <w:numId w:val="9"/>
        </w:numPr>
        <w:rPr>
          <w:noProof/>
          <w:lang w:val="pl-PL"/>
        </w:rPr>
      </w:pPr>
      <w:r w:rsidRPr="00F9287B">
        <w:rPr>
          <w:b/>
          <w:bCs/>
          <w:noProof/>
          <w:lang w:val="pl-PL"/>
        </w:rPr>
        <w:t>Publiczne interfejsy WWW/API → (Edge: WAF/Front Door/App Gateway → Spoke: App/API)</w:t>
      </w:r>
      <w:r>
        <w:rPr>
          <w:b/>
          <w:bCs/>
          <w:noProof/>
          <w:lang w:val="pl-PL"/>
        </w:rPr>
        <w:t xml:space="preserve"> </w:t>
      </w:r>
      <w:r w:rsidRPr="00F9287B">
        <w:rPr>
          <w:noProof/>
          <w:lang w:val="pl-PL"/>
        </w:rPr>
        <w:t>Wejście całego ruchu z Internetu przez Edge na Aplikację w Spoke. Bez twardej walidacji i autoryzacji w warstwie App/API grożą: XSS/SQLi/NoSQLi, IDOR/BOLA, nadużycie metod i masowe odczyty; bez reguł WAF/rate-limit na Edge – brute force i DoS.</w:t>
      </w:r>
    </w:p>
    <w:p w14:paraId="58D56103" w14:textId="574C0031" w:rsidR="00F9287B" w:rsidRPr="00F9287B" w:rsidRDefault="00F9287B" w:rsidP="00F9287B">
      <w:pPr>
        <w:pStyle w:val="Akapitzlist"/>
        <w:numPr>
          <w:ilvl w:val="0"/>
          <w:numId w:val="9"/>
        </w:numPr>
        <w:rPr>
          <w:noProof/>
          <w:lang w:val="pl-PL"/>
        </w:rPr>
      </w:pPr>
      <w:r w:rsidRPr="00F9287B">
        <w:rPr>
          <w:b/>
          <w:bCs/>
          <w:noProof/>
          <w:lang w:val="pl-PL"/>
        </w:rPr>
        <w:t>Warstwa tożsamości → (Microsoft Entra ID ↔ Spoke: App/API)</w:t>
      </w:r>
      <w:r>
        <w:rPr>
          <w:b/>
          <w:bCs/>
          <w:noProof/>
          <w:lang w:val="pl-PL"/>
        </w:rPr>
        <w:t xml:space="preserve"> </w:t>
      </w:r>
      <w:r w:rsidRPr="00F9287B">
        <w:rPr>
          <w:noProof/>
          <w:lang w:val="pl-PL"/>
        </w:rPr>
        <w:t>Logowanie i obsługa tokenów odbywa się między Entra ID a App/API. Błąd w walidacji tokenów, słabe MFA/Conditional Access lub przewidywalne reset-tokeny dają atakującemu „legalny” kontekst (przejęcie konta, session fixation/replay) i dostęp dalej do DB/Storage via Managed Identity.</w:t>
      </w:r>
    </w:p>
    <w:p w14:paraId="0CF7858D" w14:textId="19055FE3" w:rsidR="00F9287B" w:rsidRPr="00F9287B" w:rsidRDefault="00F9287B" w:rsidP="00F9287B">
      <w:pPr>
        <w:pStyle w:val="Akapitzlist"/>
        <w:numPr>
          <w:ilvl w:val="0"/>
          <w:numId w:val="9"/>
        </w:numPr>
        <w:rPr>
          <w:noProof/>
          <w:lang w:val="pl-PL"/>
        </w:rPr>
      </w:pPr>
      <w:r w:rsidRPr="00F9287B">
        <w:rPr>
          <w:b/>
          <w:bCs/>
          <w:noProof/>
          <w:lang w:val="pl-PL"/>
        </w:rPr>
        <w:lastRenderedPageBreak/>
        <w:t>Zewnętrzne integracje → (Webhooki na Edge → Spoke: App/API)</w:t>
      </w:r>
      <w:r>
        <w:rPr>
          <w:b/>
          <w:bCs/>
          <w:noProof/>
          <w:lang w:val="pl-PL"/>
        </w:rPr>
        <w:t xml:space="preserve"> </w:t>
      </w:r>
      <w:r w:rsidRPr="00F9287B">
        <w:rPr>
          <w:noProof/>
          <w:lang w:val="pl-PL"/>
        </w:rPr>
        <w:t>Dostawcy (np. płatności) wołają nasze publiczne endpointy przez Edge do App/API. Brak weryfikacji źródła/podpisu (np. HMAC/JWS) lub ochrony przed replay pozwala wstrzyknąć fałszywe zdarzenia („payment succeeded”) i zmienić stan w DB.</w:t>
      </w:r>
    </w:p>
    <w:p w14:paraId="0ECB18BD" w14:textId="6BE6D098" w:rsidR="00F9287B" w:rsidRPr="00F9287B" w:rsidRDefault="00F9287B" w:rsidP="00F9287B">
      <w:pPr>
        <w:pStyle w:val="Akapitzlist"/>
        <w:numPr>
          <w:ilvl w:val="0"/>
          <w:numId w:val="9"/>
        </w:numPr>
        <w:rPr>
          <w:noProof/>
          <w:lang w:val="pl-PL"/>
        </w:rPr>
      </w:pPr>
      <w:r w:rsidRPr="00F9287B">
        <w:rPr>
          <w:b/>
          <w:bCs/>
          <w:noProof/>
          <w:lang w:val="pl-PL"/>
        </w:rPr>
        <w:t>Kanał CI/CD → (DevOps subnet/Agenci → Subskrypcja/Azure zasoby w Spoke/Key Vault)</w:t>
      </w:r>
      <w:r>
        <w:rPr>
          <w:b/>
          <w:bCs/>
          <w:noProof/>
          <w:lang w:val="pl-PL"/>
        </w:rPr>
        <w:t xml:space="preserve"> </w:t>
      </w:r>
      <w:r w:rsidRPr="00F9287B">
        <w:rPr>
          <w:noProof/>
          <w:lang w:val="pl-PL"/>
        </w:rPr>
        <w:t>Pipeline’y z DevOps subnet wprowadzają kod i konfigurację do App/API, Key Vault, DB/Storage. Kompromitacja self-hosted runnera lub nadmiarowe service connections oznacza trwałą zmianę stanu bezpieczeństwa (atak łańcucha dostaw) bez przechodzenia przez Edge/WAF.</w:t>
      </w:r>
    </w:p>
    <w:p w14:paraId="2080CC13" w14:textId="1425365E" w:rsidR="00F9287B" w:rsidRDefault="00F9287B" w:rsidP="00F9287B">
      <w:pPr>
        <w:pStyle w:val="Akapitzlist"/>
        <w:numPr>
          <w:ilvl w:val="0"/>
          <w:numId w:val="9"/>
        </w:numPr>
        <w:rPr>
          <w:noProof/>
          <w:lang w:val="pl-PL"/>
        </w:rPr>
      </w:pPr>
      <w:r w:rsidRPr="00F9287B">
        <w:rPr>
          <w:b/>
          <w:bCs/>
          <w:noProof/>
          <w:lang w:val="pl-PL"/>
        </w:rPr>
        <w:t>Dostępy administracyjne → (Portal/CLI/API do chmury ↔ zasoby: App/API, Key Vault, DB/Storage, sieć)</w:t>
      </w:r>
      <w:r>
        <w:rPr>
          <w:b/>
          <w:bCs/>
          <w:noProof/>
          <w:lang w:val="pl-PL"/>
        </w:rPr>
        <w:t xml:space="preserve"> </w:t>
      </w:r>
      <w:r w:rsidRPr="00F9287B">
        <w:rPr>
          <w:noProof/>
          <w:lang w:val="pl-PL"/>
        </w:rPr>
        <w:t>Interfejsy admina (poza ścieżką użytkownika) sterują App/API, Key Vault, DB/Storage, NSG/UDR/Firewall. Brak PIM/JIT, 2FA lub zbyt szerokie role umożliwiają pełne przejęcie środowiska niezależnie od zabezpieczeń na Edge.</w:t>
      </w:r>
    </w:p>
    <w:p w14:paraId="0FF580FC" w14:textId="77777777" w:rsidR="00254505" w:rsidRDefault="00254505" w:rsidP="00254505">
      <w:pPr>
        <w:keepNext/>
        <w:jc w:val="center"/>
      </w:pPr>
      <w:r w:rsidRPr="00254505">
        <w:rPr>
          <w:lang w:val="pl-PL"/>
        </w:rPr>
        <w:drawing>
          <wp:inline distT="0" distB="0" distL="0" distR="0" wp14:anchorId="7F14585C" wp14:editId="6BEF2ACB">
            <wp:extent cx="5943600" cy="3966845"/>
            <wp:effectExtent l="0" t="0" r="0" b="0"/>
            <wp:docPr id="1026424174" name="Obraz 1" descr="Obraz zawierający tekst, zrzut ekranu, diagram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24174" name="Obraz 1" descr="Obraz zawierający tekst, zrzut ekranu, diagram, Równolegl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0895" w14:textId="1317DC62" w:rsidR="00C52CE9" w:rsidRPr="00254505" w:rsidRDefault="00254505" w:rsidP="00254505">
      <w:pPr>
        <w:pStyle w:val="Legenda"/>
        <w:jc w:val="center"/>
        <w:rPr>
          <w:lang w:val="pl-PL"/>
        </w:rPr>
      </w:pPr>
      <w:r w:rsidRPr="00254505">
        <w:rPr>
          <w:lang w:val="pl-PL"/>
        </w:rPr>
        <w:t xml:space="preserve">Rysunek </w:t>
      </w:r>
      <w:r>
        <w:fldChar w:fldCharType="begin"/>
      </w:r>
      <w:r w:rsidRPr="00254505">
        <w:rPr>
          <w:lang w:val="pl-PL"/>
        </w:rPr>
        <w:instrText xml:space="preserve"> SEQ Rysunek \* ARABIC </w:instrText>
      </w:r>
      <w:r>
        <w:fldChar w:fldCharType="separate"/>
      </w:r>
      <w:r w:rsidRPr="00254505">
        <w:rPr>
          <w:noProof/>
          <w:lang w:val="pl-PL"/>
        </w:rPr>
        <w:t>2</w:t>
      </w:r>
      <w:r>
        <w:fldChar w:fldCharType="end"/>
      </w:r>
      <w:r w:rsidRPr="00254505">
        <w:rPr>
          <w:lang w:val="pl-PL"/>
        </w:rPr>
        <w:t xml:space="preserve"> - Architecture diagram ilustrujący wybraną architekturę</w:t>
      </w:r>
      <w:r w:rsidRPr="00254505">
        <w:rPr>
          <w:noProof/>
          <w:lang w:val="pl-PL"/>
        </w:rPr>
        <w:t xml:space="preserve"> z zaznaczonymi elementami podatnymi na potencjalny atak</w:t>
      </w:r>
    </w:p>
    <w:sectPr w:rsidR="00C52CE9" w:rsidRPr="00254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79A9"/>
    <w:multiLevelType w:val="multilevel"/>
    <w:tmpl w:val="4882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414A6"/>
    <w:multiLevelType w:val="hybridMultilevel"/>
    <w:tmpl w:val="A0FC4D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9D19EC"/>
    <w:multiLevelType w:val="hybridMultilevel"/>
    <w:tmpl w:val="72AEE2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F57B4F"/>
    <w:multiLevelType w:val="multilevel"/>
    <w:tmpl w:val="4EF20A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6FD0049"/>
    <w:multiLevelType w:val="multilevel"/>
    <w:tmpl w:val="3750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A794D"/>
    <w:multiLevelType w:val="hybridMultilevel"/>
    <w:tmpl w:val="0466F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66A25"/>
    <w:multiLevelType w:val="multilevel"/>
    <w:tmpl w:val="4EF20A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4AF27400"/>
    <w:multiLevelType w:val="multilevel"/>
    <w:tmpl w:val="E684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61838"/>
    <w:multiLevelType w:val="multilevel"/>
    <w:tmpl w:val="4EF20A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F3829E8"/>
    <w:multiLevelType w:val="hybridMultilevel"/>
    <w:tmpl w:val="D5362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2C03EB4"/>
    <w:multiLevelType w:val="multilevel"/>
    <w:tmpl w:val="8DDE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E308F"/>
    <w:multiLevelType w:val="hybridMultilevel"/>
    <w:tmpl w:val="40C2B23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4F36F7"/>
    <w:multiLevelType w:val="multilevel"/>
    <w:tmpl w:val="A880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568481">
    <w:abstractNumId w:val="5"/>
  </w:num>
  <w:num w:numId="2" w16cid:durableId="49958624">
    <w:abstractNumId w:val="10"/>
  </w:num>
  <w:num w:numId="3" w16cid:durableId="1290471234">
    <w:abstractNumId w:val="12"/>
  </w:num>
  <w:num w:numId="4" w16cid:durableId="1769041431">
    <w:abstractNumId w:val="4"/>
  </w:num>
  <w:num w:numId="5" w16cid:durableId="723868637">
    <w:abstractNumId w:val="11"/>
  </w:num>
  <w:num w:numId="6" w16cid:durableId="1559317645">
    <w:abstractNumId w:val="2"/>
  </w:num>
  <w:num w:numId="7" w16cid:durableId="395906744">
    <w:abstractNumId w:val="9"/>
  </w:num>
  <w:num w:numId="8" w16cid:durableId="565839828">
    <w:abstractNumId w:val="1"/>
  </w:num>
  <w:num w:numId="9" w16cid:durableId="1137798434">
    <w:abstractNumId w:val="7"/>
  </w:num>
  <w:num w:numId="10" w16cid:durableId="126431492">
    <w:abstractNumId w:val="0"/>
  </w:num>
  <w:num w:numId="11" w16cid:durableId="1661884178">
    <w:abstractNumId w:val="6"/>
  </w:num>
  <w:num w:numId="12" w16cid:durableId="711274205">
    <w:abstractNumId w:val="3"/>
  </w:num>
  <w:num w:numId="13" w16cid:durableId="351877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B5"/>
    <w:rsid w:val="00254505"/>
    <w:rsid w:val="00433245"/>
    <w:rsid w:val="006203A5"/>
    <w:rsid w:val="00982AAE"/>
    <w:rsid w:val="009A1AEF"/>
    <w:rsid w:val="00C52CE9"/>
    <w:rsid w:val="00C9166B"/>
    <w:rsid w:val="00D078B5"/>
    <w:rsid w:val="00D264FF"/>
    <w:rsid w:val="00DB18DE"/>
    <w:rsid w:val="00DE4702"/>
    <w:rsid w:val="00F9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B9BF"/>
  <w15:chartTrackingRefBased/>
  <w15:docId w15:val="{8ED236A8-37FD-49DE-AF4C-73359FCA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0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0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0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0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0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0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0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0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0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0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0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078B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078B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078B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078B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078B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078B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0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0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0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0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0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078B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078B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078B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0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078B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078B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43324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33245"/>
    <w:rPr>
      <w:color w:val="605E5C"/>
      <w:shd w:val="clear" w:color="auto" w:fill="E1DFDD"/>
    </w:rPr>
  </w:style>
  <w:style w:type="paragraph" w:styleId="Legenda">
    <w:name w:val="caption"/>
    <w:basedOn w:val="Normalny"/>
    <w:next w:val="Normalny"/>
    <w:uiPriority w:val="35"/>
    <w:unhideWhenUsed/>
    <w:qFormat/>
    <w:rsid w:val="00D264F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earn.microsoft.com/en-us/azure/architecture/browse/?terms=Web%20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5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107162</dc:creator>
  <cp:keywords/>
  <dc:description/>
  <cp:lastModifiedBy>Maciej 107162</cp:lastModifiedBy>
  <cp:revision>5</cp:revision>
  <dcterms:created xsi:type="dcterms:W3CDTF">2025-10-19T10:17:00Z</dcterms:created>
  <dcterms:modified xsi:type="dcterms:W3CDTF">2025-10-19T14:03:00Z</dcterms:modified>
</cp:coreProperties>
</file>