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UNIVERSIDAD POPULAR DEL CESAR  ·  INGENIERÍA DE SISTEMAS</w:t>
      </w:r>
    </w:p>
    <w:p>
      <w:pPr>
        <w:pStyle w:val="Title"/>
      </w:pPr>
      <w:r>
        <w:t>Especificación técnica del Programa Estadístico de Análisis de Investigación</w:t>
      </w:r>
    </w:p>
    <w:p>
      <w:r>
        <w:t>PEA-i administra grupos de investigación, investigadores, productos y planes de la Universidad Popular del Cesar. El modelo conserva cada entidad una sola vez y representa sus relaciones mediante multilistas. Esta especificación define las entradas y salidas, estructuras, reglas de integridad, consultas estadísticas, persistencia e interoperabilidad de las soluciones C++ y Python.</w:t>
      </w:r>
    </w:p>
    <w:p>
      <w:pPr>
        <w:pStyle w:val="Heading1"/>
      </w:pPr>
      <w:r>
        <w:t>1 Objetivo y alcance</w:t>
      </w:r>
    </w:p>
    <w:p>
      <w:r>
        <w:t>Las operaciones de dominio son alta, consulta, edición, desactivación, reactivación y baja de entidades y relaciones. C++ ofrece menús de consola y un protocolo local de solicitudes; Python ofrece un panel Tkinter y conserva un motor autónomo con el mismo esquema de datos. Tkinter inicia el proceso C++ en modo API cuando encuentra un binario vigente y, en caso contrario, ejecuta el motor Python.</w:t>
      </w:r>
    </w:p>
    <w:p>
      <w:r>
        <w:t>Las salidas comprenden fichas y relaciones consultables, revisión pendiente, historial de deshacer, distribuciones descriptivas y diez archivos CSV por carpeta. La adquisición externa usa fichas públicas GrupLAC o CvLAC, CSV, Excel, Word y PDF con texto extraíble. El conjunto incluido reúne fichas públicas de 66 grupos UPC; no es un censo institucional.</w:t>
      </w:r>
    </w:p>
    <w:p>
      <w:pPr>
        <w:pStyle w:val="Heading1"/>
      </w:pPr>
      <w:r>
        <w:t>2 Arquitectura y casos de uso</w:t>
      </w:r>
    </w:p>
    <w:p>
      <w:r>
        <w:t>La interfaz Tkinter envía una solicitud JSON por línea a la entrada estándar de pea_cpp --api y recibe una respuesta JSON por la salida estándar. No intervienen puertos ni servicios de red en la conexión entre procesos. Repository mantiene listas, multilistas, pila y cola en memoria y coordina el guardado CSV. Python obtiene y previsualiza las fuentes web; los registros confirmados se incorporan mediante operaciones del motor activo.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778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77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1. Procesos y flujo de datos de la aplicación.</w:t>
      </w:r>
    </w:p>
    <w:p>
      <w:r>
        <w:t>Los casos de uso cubren inicio vacío o desde carpeta, mantenimiento de entidades y vínculos, incorporación de fuentes, consulta estadística, revisión, deshacer y guardado.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59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5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2. Casos de uso principales del usuario.</w:t>
      </w:r>
    </w:p>
    <w:p>
      <w:pPr>
        <w:pStyle w:val="Heading1"/>
      </w:pPr>
      <w:r>
        <w:t>3 Modelo de información</w:t>
      </w:r>
    </w:p>
    <w:p>
      <w:r>
        <w:t>El producto es la unidad que se cuenta en las estadísticas. Cada grupo, investigador, producto o plan tiene un ID estable. Las multilistas vinculan entidades sin duplicarlas. Membresías unen grupo e investigador; autorías unen investigador y producto; grupos_productos unen grupo y producto. Un plan pertenece a un grupo.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81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8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3. Dimensiones del hipercubo lógico alrededor del producto.</w:t>
      </w:r>
    </w:p>
    <w:p>
      <w:pPr>
        <w:pStyle w:val="Heading2"/>
      </w:pPr>
      <w:r>
        <w:t>Variables de entrada y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Registro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Entrada principal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Salida y relación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Grupo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ID, nombre, código GrupLAC, unidad, categoría, líneas, estado y fuente.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Ficha y productos vinculados; integrantes y planes.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Investigador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ID, nombre, CvLAC, afiliación, categoría, contacto público, estado y fuente.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Ficha, grupos y productos de autoría.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Producto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ID, título, año o fecha, familia, tipología, observación, DOI, URL y fuente; la validación se calcula.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Ficha, grupos, autores y contribución a estadísticas.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Plan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ID, grupo, plazo, objetivo, indicador, meta y actividad.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Plan consultable dentro del grupo.</w:t>
            </w:r>
          </w:p>
        </w:tc>
      </w:tr>
    </w:tbl>
    <w:p/>
    <w:p>
      <w:r>
        <w:t>Las salidas estadísticas son total de productos únicos, conteos por año, tipología, validación y reglas incumplidas, más listas paginadas. Los campos vacíos no se completan con valores supuestos. Las variables exactas de persistencia figuran en el diccionario del apartado 12.</w:t>
      </w:r>
    </w:p>
    <w:p>
      <w:pPr>
        <w:pStyle w:val="Heading1"/>
      </w:pPr>
      <w:r>
        <w:t>4 Estructuras de datos y complejidad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Estructura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Uso concreto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Costos relevantes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Lista doble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Entidades: grupos, investigadores, productos y planes. Nodos anterior/siguiente; índices auxiliares por ID.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Inserción al final O(1); recorrido O(n); búsqueda por ID O(1) promedio con índice.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Multilista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Membresías, autorías y vínculos grupo-producto recorridos desde cualquiera de sus extremos.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Inserción O(1) promedio con índice; recorrer vecinos O(k).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Pila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Deshacer las últimas 30 operaciones. Python conserva instantáneas; C++ guarda cambios compactos.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Apilar y desapilar O(1); el tamaño del registro de deshacer depende del cambio.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Cola</w:t>
            </w:r>
          </w:p>
        </w:tc>
        <w:tc>
          <w:tcPr>
            <w:tcW w:type="dxa" w:w="453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Revisiones pendientes de productos en orden de llegada.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Encolar, consultar frente y desencolar O(1).</w:t>
            </w:r>
          </w:p>
        </w:tc>
      </w:tr>
    </w:tbl>
    <w:p/>
    <w:p>
      <w:r>
        <w:t>Los nodos son la fuente de verdad. Los diccionarios y mapas sirven de índices auxiliares. La consulta estadística recorre productos activos y vínculos pertinentes; no existe una matriz densa con todas las combinaciones posibles. Python materializa temporalmente los productos de la vista; C++ recorre la lista principal y limita la página devuelta.</w:t>
      </w:r>
    </w:p>
    <w:p>
      <w:pPr>
        <w:pStyle w:val="Heading1"/>
      </w:pPr>
      <w:r>
        <w:t>5 Operaciones y reglas de integridad</w:t>
      </w:r>
    </w:p>
    <w:p>
      <w:pPr>
        <w:pStyle w:val="ListBullet"/>
      </w:pPr>
      <w:r>
        <w:t>Alta, búsqueda, consulta, edición, desactivación, reactivación y baja de entidades y relaciones; los IDs y los extremos de una relación no se editan.</w:t>
      </w:r>
    </w:p>
    <w:p>
      <w:pPr>
        <w:pStyle w:val="ListBullet"/>
      </w:pPr>
      <w:r>
        <w:t>No se elimina en cascada un grupo, investigador o producto con relaciones pendientes; primero se resuelven esos vínculos o se desactiva el registro.</w:t>
      </w:r>
    </w:p>
    <w:p>
      <w:pPr>
        <w:pStyle w:val="ListBullet"/>
      </w:pPr>
      <w:r>
        <w:t>Los códigos GrupLAC, CvLAC y DOI no vacíos son únicos. El DOI se compara sin distinguir mayúsculas ni el prefijo doi.org. Las fechas siguen AAAA-MM-DD; el año del producto debe concordar con su fecha.</w:t>
      </w:r>
    </w:p>
    <w:p>
      <w:pPr>
        <w:pStyle w:val="ListBullet"/>
      </w:pPr>
      <w:r>
        <w:t>La validación de un producto es automática: queda validado si tiene año, tipología, una autoría activa de un investigador activo, un vínculo activo con un grupo activo y una URL o un DOI válido. Se recalcula al cambiar el producto o sus vínculos y no equivale a la clasificación oficial de Minciencias.</w:t>
      </w:r>
    </w:p>
    <w:p>
      <w:pPr>
        <w:pStyle w:val="ListBullet"/>
      </w:pPr>
      <w:r>
        <w:t>Los productos no tienen categoría: GrupLAC solo publica la clasificación del grupo. La categoría se gestiona en grupos e investigadores y la interfaz la muestra en el módulo de grupos.</w:t>
      </w:r>
    </w:p>
    <w:p>
      <w:pPr>
        <w:pStyle w:val="ListBullet"/>
      </w:pPr>
      <w:r>
        <w:t>La cola conserva trabajos pendientes y la pila permite deshacer. Ambas se guardan junto con las entidades y relaciones.</w:t>
      </w:r>
    </w:p>
    <w:p>
      <w:pPr>
        <w:pStyle w:val="Heading1"/>
      </w:pPr>
      <w:r>
        <w:t>6 Persistencia e interoperabilidad</w:t>
      </w:r>
    </w:p>
    <w:p>
      <w:r>
        <w:t>Cada carpeta de datos contiene manifest.csv, cuatro archivos de entidades, tres de relaciones, cola_validacion.csv e historial.csv. El formato común es CSV UTF-8 con encabezados, comillas y saltos de línea conforme al formato CSV. manifest.csv declara la versión 3. Ambos motores leen las versiones 1 y 2 y las migran al guardar; una categoría de producto anterior se conserva en la observación. El formato neutraliza los valores que una hoja de cálculo interpretaría como fórmulas y recupera su valor original al cargar. Se valida la integridad referencial. Se preparan archivos temporales y se conserva .backup del guardado previo para recuperación.</w:t>
      </w:r>
    </w:p>
    <w:p>
      <w:r>
        <w:t>Las dos aplicaciones pueden abrir por turnos la misma carpeta. No existe bloqueo de escritura multiusuario; abrir simultáneamente una carpeta editable puede producir conflictos. La interfaz Tkinter trata data/real como muestra de solo lectura: las modificaciones se guardan en otra carpeta mediante Guardar como.</w:t>
      </w:r>
    </w:p>
    <w:p>
      <w:pPr>
        <w:pStyle w:val="Heading1"/>
      </w:pPr>
      <w:r>
        <w:t>7 Adquisición e importación</w:t>
      </w:r>
    </w:p>
    <w:p>
      <w:r>
        <w:t>Ambos programas importan CSV del esquema PEA-i con vista previa y conteo de filas aceptables o rechazadas. Python también admite Excel XLSX y Word DOCX mediante dependencias opcionales, y consulta URL públicas HTTP/HTTPS de HTML, texto, CSV o PDF de texto y muestra su contenido antes de crear registros. La extracción estructurada se limita a fichas GrupLAC/CvLAC y metadatos explícitos de artículos. Las páginas de estructura desconocida se limitan a vista previa y captura supervisada.</w:t>
      </w:r>
    </w:p>
    <w:p>
      <w:r>
        <w:t>La importación de PDF de texto requiere pdftotext de Poppler. Los escaneos sin texto seleccionable requieren OCR externo. C++ dispone de importación CSV autónoma.</w:t>
      </w:r>
    </w:p>
    <w:p>
      <w:pPr>
        <w:pStyle w:val="Heading2"/>
      </w:pPr>
      <w:r>
        <w:t>Controles de seguridad de las fuentes</w:t>
      </w:r>
    </w:p>
    <w:p>
      <w:r>
        <w:t>La descarga limita la respuesta a 8 MB, permite solo HTTP y HTTPS en los puertos 80 y 443, rechaza destinos locales o privados y verifica cada redirección. La conexión usa una dirección pública previamente validada, sin proxy heredado del entorno. El tiempo de espera por operación es 15 segundos; no constituye un límite total de duración.</w:t>
      </w:r>
    </w:p>
    <w:p>
      <w:r>
        <w:t>Los archivos locales PDF, XLSX y DOCX tienen un límite de 32 MB. Los documentos Office se inspeccionan antes de extraerlos, con un máximo de 10.000 entradas y 128 MB de tamaño declarado sin comprimir. El conversor PDF tiene 25 segundos para extraer hasta cinco millones de caracteres y límites adicionales de CPU y memoria en POSIX. Cada CSV admite hasta 500.000 filas y 100.000 caracteres por campo.</w:t>
      </w:r>
    </w:p>
    <w:p>
      <w:r>
        <w:t>El ejecutable Windows incluido se usa cuando su SHA-256 y la huella de las fuentes coinciden. Esas huellas detectan cambios accidentales, pero no autentican al autor. Los parámetros privados de URL se omiten al guardar la procedencia; se retienen solo identificadores públicos necesarios para las fichas GrupLAC y CvLAC.</w:t>
      </w:r>
    </w:p>
    <w:p>
      <w:pPr>
        <w:pStyle w:val="Heading1"/>
      </w:pPr>
      <w:r>
        <w:t>8 Hipercubo lógico y estadísticas</w:t>
      </w:r>
    </w:p>
    <w:p>
      <w:r>
        <w:t>El hipercubo se implementa como consulta multidimensional calculada bajo demanda: cada producto es un hecho único; grupo e investigador son dimensiones relacionales, y año, tipología y validación son atributos de análisis. La vista selecciona todos los productos o un grupo, investigador o producto. Después se aplican rango de años y estado de validación; el resultado se agrupa por año, tipología, validación y reglas incumplidas.</w:t>
      </w:r>
    </w:p>
    <w:p>
      <w:r>
        <w:t>Total(vista, filtros) = número de IDs de producto activos distintos que satisfacen los vínculos activos y todos los filtros. Un producto unido a varios grupos o autores se cuenta una sola vez dentro de la vista. Cuando se fija un rango temporal, los productos sin año quedan fuera; fuera del rango sí cuentan en el total y aparecen como Sin dato en la distribución correspondiente.</w:t>
      </w:r>
    </w:p>
    <w:p>
      <w:r>
        <w:t>No se almacena un cubo OLAP materializado. Cada solicitud selecciona una dimensión relacional; la consulta no admite una intersección simultánea de grupo e investigador. La consola muestra tablas y cifras; Tkinter muestra barras por año, tipología, validación y reglas incumplidas, además de una tabla de productos.</w:t>
      </w:r>
    </w:p>
    <w:p>
      <w:pPr>
        <w:pStyle w:val="Heading1"/>
      </w:pPr>
      <w:r>
        <w:t>9 Historias de usuario y aceptación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HU01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Como gestor quiero iniciar vacío o abrir datos guardados.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 aplicación permite elegir y conserva cambios al cerrar y reabrir.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HU02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Como gestor quiero relacionar grupos, personas y productos.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Los vínculos se consultan desde ambos extremos sin duplicar entidades.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HU03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Como revisor quiero procesar productos en orden y deshacer errores.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 cola atiende FIFO; la pila restaura la acción reversible más reciente.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HU04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Como analista quiero filtrar los resultados.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Las vistas por grupo, investigador y producto respetan años y validación.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HU05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Como gestor quiero importar una fuente pública o CSV.</w:t>
            </w:r>
          </w:p>
        </w:tc>
        <w:tc>
          <w:tcPr>
            <w:tcW w:type="dxa" w:w="44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 vista previa identifica la fuente, muestra campos y registra aceptación o rechazo.</w:t>
            </w:r>
          </w:p>
        </w:tc>
      </w:tr>
    </w:tbl>
    <w:p/>
    <w:p>
      <w:pPr>
        <w:pStyle w:val="Heading1"/>
      </w:pPr>
      <w:r>
        <w:t>10 Correspondencia entre requisitos y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Diseño correspondiente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Dos soluciones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Consola C++17; interfaz Tkinter y motor Python autónomo.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Grupos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Registro con ID, código GrupLAC, categoría, líneas, fuente y estado.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Investigadores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Registro con ID, CvLAC, afiliación, categoría, fuente y estado.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Productos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Registro con fecha, tipología, DOI y URL; validación automática.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Integrantes y planes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Membresía grupo-investigador y plan con grupo_id.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Entradas y salidas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Campos del apartado 3; CSV y distribuciones del apartado 8.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Fuentes externas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CSV en ambos motores; URL pública, PDF, XLSX y DOCX en Python.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Listas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Lista doble enlazada por tipo de entidad.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R09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Multilistas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Vínculos indexados y recorribles desde ambos extremos.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Pilas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Deshacer LIFO de hasta 30 acciones, persistido en historial.csv.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R11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Colas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Revisión FIFO persistida en cola_validacion.csv.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R12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CRUD y persistencia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Operaciones de dominio y esquema CSV versión 3, con migración de las versiones 1 y 2.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R13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Categoría y validación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Categoría en grupos e investigadores; validación de productos por reglas, recalculada en cada cambio.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R14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Ventanas temporales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Dos años, cinco años o intervalo personalizado.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R15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Vistas estadísticas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Total, grupo, investigador o producto sin duplicar IDs.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R16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Presentación C++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Menús, tablas y resúmenes numéricos en consola.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R17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Presentación Python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Barras por año, tipología, validación y reglas incumplidas; tabla paginada.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R18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Inicio con o sin datos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Carga inicial de data/real, inicio vacío y apertura de carpeta CSV.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R19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Archivos fuente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Taller2_REMR.cpp y Taller2_REMR.py.</w:t>
            </w:r>
          </w:p>
        </w:tc>
      </w:tr>
      <w:tr>
        <w:trPr>
          <w:cantSplit/>
        </w:trPr>
        <w:tc>
          <w:tcPr>
            <w:tcW w:type="dxa" w:w="7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R20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Especificación</w:t>
            </w:r>
          </w:p>
        </w:tc>
        <w:tc>
          <w:tcPr>
            <w:tcW w:type="dxa" w:w="62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Modelo, estructuras, algoritmos, contratos y diagramas.</w:t>
            </w:r>
          </w:p>
        </w:tc>
      </w:tr>
    </w:tbl>
    <w:p/>
    <w:p>
      <w:pPr>
        <w:pStyle w:val="Heading1"/>
      </w:pPr>
      <w:r>
        <w:t>11 Restricciones del sistema y alcance de los datos</w:t>
      </w:r>
    </w:p>
    <w:p>
      <w:r>
        <w:t>El conjunto data/real reúne fichas públicas GrupLAC de 66 grupos UPC. Contiene 2.736 investigadores, 3.291 membresías, 66 planes, 6.363 productos únicos, 6.735 vínculos grupo-producto y 9.703 autorías. Hay 274 investigadores con categoría CvLAC capturada. La validación automática deja 6.323 productos validados y 40 rechazados (37 sin autor del censo y 3 con DOI mal formado). Las fichas públicas pueden cambiar; este conjunto no constituye un censo institucional actualizado.</w:t>
      </w:r>
    </w:p>
    <w:p>
      <w:r>
        <w:t>La extracción de URL depende del contenido público entregado por el servidor. Los PDF escaneados requieren OCR externo; las páginas que generan sus datos exclusivamente con JavaScript o exigen autenticación no suministran registros estructurados por esta vía. La persistencia no implementa bloqueo de escritura entre procesos: una carpeta editable debe abrirse en una instancia a la vez.</w:t>
      </w:r>
    </w:p>
    <w:p>
      <w:r>
        <w:t>El motor Python autónomo guarda instantáneas en el historial; el motor C++ conserva registros compactos de cambios. La consulta estadística construye agregados bajo demanda y no reserva una celda para cada combinación de dimensiones. El tamaño de la memoria depende del número de entidades, vínculos y longitud de los campos almacenados.</w:t>
      </w:r>
    </w:p>
    <w:p>
      <w:pPr>
        <w:pStyle w:val="Heading1"/>
      </w:pPr>
      <w:r>
        <w:t>12 Diccionario de persistencia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Campos guardados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manifest.csv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version, guardado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grupos.csv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id, nombre, codigo_gruplac, fecha_creacion, unidad, responsable, categoria, descripcion, objetivos, mision, vision, lineas, url, fuente,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investigadores.csv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id, nombre, codigo_cvlac, afiliacion, categoria, contacto, url, fuente,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productos.csv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id, titulo, anio, fecha, familia, tipologia, validacion, observacion, doi, url, fuente,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planes.csv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id, grupo_id, nombre, inicio, fin, objetivo, indicador, meta, actividad,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membresias.csv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grupo_id, investigador_id, rol, inicio, fin,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autorias.csv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producto_id, investigador_id, orden, rol,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grupos_productos.csv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grupo_id, producto_id, origen, activo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cola_validacion.csv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id, producto_id, motivo, creado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7"/>
              </w:rPr>
              <w:t>historial.csv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7"/>
              </w:rPr>
              <w:t>orden, snapshot</w:t>
            </w:r>
          </w:p>
        </w:tc>
      </w:tr>
    </w:tbl>
    <w:p/>
    <w:p>
      <w:pPr>
        <w:pStyle w:val="Heading1"/>
      </w:pPr>
      <w:r>
        <w:t>13 Ejecución y referencias</w:t>
      </w:r>
    </w:p>
    <w:p>
      <w:r>
        <w:t>En Windows de 64 bits, con Python 3.10 o posterior y Tkinter, se abre Iniciar PEA-i.pyw mediante doble clic; el repositorio incluye pea_cpp.exe. Para la consola se ejecuta bin/windows/pea_cpp.exe. En Linux se ejecuta python3 src/python/Taller2_REMR.py; CMake compila C++17 si no existe el binario. El modo Python independiente se fuerza con --python-backend. El README del repositorio contiene los comandos completos.</w:t>
      </w:r>
    </w:p>
    <w:p>
      <w:pPr>
        <w:pStyle w:val="ListBullet"/>
      </w:pPr>
      <w:r>
        <w:t>Enunciado del taller: ENUNCIADO_TALLER_2.md, Universidad Popular del Cesar, 2026.</w:t>
      </w:r>
    </w:p>
    <w:p>
      <w:pPr>
        <w:pStyle w:val="ListBullet"/>
      </w:pPr>
      <w:r>
        <w:t>Esquema y reglas exactas: docs/esquema_datos.md; protocolo: docs/protocolo_backend.md.</w:t>
      </w:r>
    </w:p>
    <w:p>
      <w:pPr>
        <w:pStyle w:val="ListBullet"/>
      </w:pPr>
      <w:r>
        <w:t>Procedencia de datos: data/real/README.md y fichas públicas GrupLAC y CvLAC enlazadas allí.</w:t>
      </w:r>
    </w:p>
    <w:p>
      <w:pPr>
        <w:pStyle w:val="ListBullet"/>
      </w:pPr>
      <w:r>
        <w:t>Código fuente: src/cpp/Taller2_REMR.cpp y src/python/Taller2_REMR.py.</w:t>
      </w:r>
    </w:p>
    <w:p>
      <w:pPr>
        <w:pStyle w:val="Heading1"/>
      </w:pPr>
      <w:r>
        <w:t>14 Algoritmos principales</w:t>
      </w:r>
    </w:p>
    <w:p>
      <w:r>
        <w:t>Consulta estadística: la multilista selecciona los IDs de producto asociados a la vista. Se recorren los productos activos, se aplican los filtros y se incrementan los conteos. La lista visible se pagina sin alterar el total. Con P productos, R vínculos de la vista y D valores distintos de distribución, Python emplea O(P + R) tiempo promedio y O(P + R + D) memoria temporal. C++ usa conjuntos y mapas ordenados: el tiempo es O(P + R log(R + 1) + P log(R + 1) + P log(D + 1)) y la memoria adicional es O(R + L + D), donde L es el tamaño de página solicitado.</w:t>
      </w:r>
    </w:p>
    <w:p>
      <w:r>
        <w:t>Guardado: se valida el esquema y las relaciones; se escriben CSV temporales; se conservan los archivos anteriores en .backup; y se sustituyen los archivos de destino. En una carga, la versión del manifiesto y los encabezados se comprueban antes de reconstruir vínculos, cola e historial.</w:t>
      </w:r>
    </w:p>
    <w:p>
      <w:r>
        <w:t>Revisión: encolar añade al final; procesar lee el frente, exige una observación y cambia el estado del producto; el registro de deshacer entra en la pila; por último se retira el frente. Deshacer aplica la acción inversa más reciente.</w:t>
      </w:r>
    </w:p>
    <w:p>
      <w:pPr>
        <w:pStyle w:val="Heading1"/>
      </w:pPr>
      <w:r>
        <w:t>15 Contratos de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Operación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Entrada y precondición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1C3955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Salida y postcondición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Crear producto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 y título no vacíos; ID y DOI sin colisión; año y fecha concordantes.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Un nodo activo queda indexado por ID; no se crean relaciones implícitas.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Vincular grupo y producto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IDs de ambos extremos existentes; par no duplicado.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 relación activa se consulta desde grupo y desde producto.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Cerrar revisión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Cola no vacía y nota de revisión no vacía.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La nota queda en la observación, el producto sale del frente y la acción entra en la pila; la validación se recalcula sola.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Consultar estadísticas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Vista válida; ID seleccionado cuando corresponde; rango inicial no mayor que el final.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shd w:fill="F3F7FA"/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Total único y distribuciones calculadas tras filtrar; paginar no modifica el total.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Liberation Sans" w:hAnsi="Liberation Sans"/>
                <w:sz w:val="16"/>
              </w:rPr>
              <w:t>Guardar carpeta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Datos con integridad referencial y ruta de destino escribible.</w:t>
            </w:r>
          </w:p>
        </w:tc>
        <w:tc>
          <w:tcPr>
            <w:tcW w:type="dxa" w:w="38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0" w:line="252" w:lineRule="auto"/>
            </w:pPr>
            <w:r>
              <w:rPr>
                <w:rFonts w:ascii="Liberation Sans" w:hAnsi="Liberation Sans"/>
                <w:sz w:val="16"/>
              </w:rPr>
              <w:t>Se escriben diez CSV del esquema 3 y se conserva el guardado anterior en .backup.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Liberation Sans" w:hAnsi="Liberation Sans"/>
      <w:color w:val="19191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  <w:color w:val="5A5A5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Liberation Sans" w:hAnsi="Liberation Sans"/>
      <w:i w:val="0"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64646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técnica del Programa Estadístico de Análisis de Investigación</dc:title>
  <dc:subject>Modelo de datos, estructuras, algoritmos y contratos de PEA-i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