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color w:val="767171"/>
                <w:sz w:val="24"/>
                <w:szCs w:val="24"/>
                <w:rtl w:val="0"/>
              </w:rPr>
              <w:t xml:space="preserve">Cumplimos la mayor parte de lo planificado para el Sprint 0, sobre todo en documentación: documento de visión, épicas e historias de usuario (20 historias en el formato de la docente), casos de uso, diagramas de componentes, secuencia y actividades, y la planificación de las reuniones de seguimiento. Lo que quedó pendiente es cerrar el modelo de datos con las observaciones de la docente, que es una actividad de la que depende el Sprint 1 (base de datos en Supabase). Lo que nos facilitó el avance fue la comunicación frecuente y compartir avances individuales y grupales. Lo que nos dificulta fue que algunos entregables se rehicieron (por ejemplo, los diagramas de casos de uso, que estaban poco legibles) y que algunas definiciones del negocio todavía estaban abiertas. </w:t>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b w:val="1"/>
                <w:bCs w:val="1"/>
                <w:color w:val="1f4e79"/>
                <w:rtl w:val="0"/>
              </w:rPr>
              <w:t xml:space="preserve">Medimos resultados comparando la versión anterior con la nueva. Si algo nos parece mejor, lo conversamos y llegamos a un acuerdo para ver si es factible. Con esto hemos corregido varias cosas: acotamos el alcance (decidimos que las notificaciones sean solo por correo), reorganizamos los casos de uso en categorías con diagramas de detalle para que se entiendan, y estamos ajustando el modelo de datos según la retroalimentación de la docente. </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b w:val="1"/>
                <w:bCs w:val="1"/>
                <w:color w:val="1f4e79"/>
                <w:rtl w:val="0"/>
              </w:rPr>
              <w:t xml:space="preserve">Evaluamos el trabajo comparando cómo estaba antes y cómo quedó después de cada revisión, y pensando cómo se vería la aplicación ya implementada en el salón. Destacamos el nivel de detalle de la documentación y que cada requerimiento está conectado con historias de usuario, casos de uso y modelo de datos. Lo que podemos mejorar es: cerrar el modelo de datos cuanto antes para no atrasar el desarrollo, hacer los prototipos de interfaz con los peluqueros como usuarios reales, y revisar entre todos los documentos antes de entregarlos, para evitar contradicciones entre ellos. </w:t>
            </w: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 </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b w:val="1"/>
                <w:bCs w:val="1"/>
                <w:color w:val="1f4e79"/>
                <w:rtl w:val="0"/>
              </w:rPr>
              <w:t xml:space="preserve">Nuestra principal inquietud es si la base de datos será trazable en el futuro, para que el sistema rinda sin problemas en el salón. Hoy conservamos históricos de precios, comisiones y estados, y no se borra nada físicamente. Le preguntaremos a la docente: ¿es suficiente con las tablas de históricos que definimos, o recomienda además un registro de auditoría automático para saber quién modificó cada dato? </w:t>
            </w: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1">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2">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color w:val="767171"/>
                <w:sz w:val="24"/>
                <w:szCs w:val="24"/>
                <w:rtl w:val="0"/>
              </w:rPr>
              <w:t xml:space="preserve">considero que nuestras actividades están bien distribuidas, ya que si uno hace de más, siempre estamos atentos a dar un comunicado. Hacia adelante, al empezar el desarrollo en Sprint 1, vamos a repartir los módulos de Django entre los integrantes (acceso y usuarios, fichas, seguimiento y metas) para trabajar en paralelo sin pisarnos el código.  </w:t>
            </w:r>
          </w:p>
          <w:p w:rsidR="00000000" w:rsidDel="00000000" w:rsidP="00000000" w:rsidRDefault="00000000" w:rsidRPr="00000000" w14:paraId="00000034">
            <w:pPr>
              <w:jc w:val="both"/>
              <w:rPr>
                <w:color w:val="767171"/>
                <w:sz w:val="24"/>
                <w:szCs w:val="24"/>
              </w:rPr>
            </w:pPr>
            <w:r w:rsidDel="00000000" w:rsidR="00000000" w:rsidRPr="00000000">
              <w:rPr>
                <w:rtl w:val="0"/>
              </w:rPr>
            </w:r>
          </w:p>
          <w:p w:rsidR="00000000" w:rsidDel="00000000" w:rsidP="00000000" w:rsidRDefault="00000000" w:rsidRPr="00000000" w14:paraId="00000035">
            <w:pPr>
              <w:jc w:val="both"/>
              <w:rPr>
                <w:color w:val="767171"/>
                <w:sz w:val="24"/>
                <w:szCs w:val="24"/>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9">
            <w:pPr>
              <w:rPr>
                <w:b w:val="1"/>
                <w:bCs w:val="1"/>
                <w:color w:val="767171"/>
                <w:sz w:val="24"/>
                <w:szCs w:val="24"/>
              </w:rPr>
            </w:pPr>
            <w:bookmarkStart w:colFirst="0" w:colLast="0" w:name="_heading=h.z2x82y4vdr65"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A">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color w:val="767171"/>
                <w:sz w:val="24"/>
                <w:szCs w:val="24"/>
                <w:rtl w:val="0"/>
              </w:rPr>
              <w:t xml:space="preserve">Destacamos la participación y la comunicación: por cada avance, todos nos enteramos por lo que informa cada integrante. Como aspecto a mejorar, queremos dejar un registro escrito de los acuerdos que tomamos y hacer una revisión cruzada de los documentos antes de entregarlos, para que lo que decide uno quede igual en todos los archivos. </w:t>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color w:val="767171"/>
                <w:sz w:val="24"/>
                <w:szCs w:val="24"/>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xB4dfwxH0b+9oEymRrT3+u2UgA==">CgMxLjAyDmguejJ4ODJ5NHZkcjY1OAByITFmYjFaSWFDa2M2cVVWb21lTktnV1JBbVBVQTNjZkZUVw==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