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tnq2wx7ov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Diagrama de Caso de Uso General – App Peluquería Vicente Cortez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wr7272l4s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Diagrama de casos de uso general (UML)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actores «Principal» (Peluquero/a y Administrador/a) llegan cada uno a sus propios casos de uso, y todos incluyen («include») a 'Iniciar sesión' como paso obligatorio. El Peluquero/a registra fichas, lo que incluye obligatoriamente seleccionar el tratamiento («include») y, de forma opcional, extiende («extend») hacia el registro de un cliente nuevo y hacia el envío de una notificación de renovación. Además puede consultar fichas y su propia meta de cumplimiento. El Administrador/a administra las fichas (lo que incluye consultarlas primero), consulta la meta de cumplimiento de todo el equipo y gestiona el alta, modificación y baja de peluqueros. El caso 'Monitoreo estado Tratamiento' extiende («extend») a 'Enviar notificación', cubriendo el seguimiento semanal posterior a la atención. El Cliente es actor «Secundario»: recibe el servicio y las notificaciones sin operar el sistema.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6fwdwrd3w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Actores: primarios y secundarios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Peluquero/a</w:t>
      </w:r>
      <w:r w:rsidDel="00000000" w:rsidR="00000000" w:rsidRPr="00000000">
        <w:rPr>
          <w:rtl w:val="0"/>
        </w:rPr>
        <w:t xml:space="preserve"> («Primario»): inicia sesión, registra fichas de atención (con selección de tratamiento y envío de notificación), consulta fichas y consulta su propia meta de cumplimiento.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Administrador/a</w:t>
      </w:r>
      <w:r w:rsidDel="00000000" w:rsidR="00000000" w:rsidRPr="00000000">
        <w:rPr>
          <w:rtl w:val="0"/>
        </w:rPr>
        <w:t xml:space="preserve"> («Primario»): administra las fichas (lo que exige consultarlas primero) y consulta la meta de cumplimiento de todos los peluqueros.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(«Secundario»): recibe el servicio y las notificaciones; no opera el sistema directamente.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5hzh35fvv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Actores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7.557084472167"/>
        <w:gridCol w:w="6147.954726551457"/>
        <w:tblGridChange w:id="0">
          <w:tblGrid>
            <w:gridCol w:w="2877.557084472167"/>
            <w:gridCol w:w="6147.95472655145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en el caso de uso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Peluquero/a (principal)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Inicia sesión, registra fichas de atención (con selección de tratamiento y envío de notificación), consulta fichas y consulta su propia meta de cumplimiento.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(Secundario)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Recibe el servicio y los recordatorios automáticos; no interactúa directamente con el sistema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notificaciones (WhatsApp/correo)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Envía automáticamente los recordatorios programados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Administrador/a (principal)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 las fichas (consultándolas primero) y consulta la meta de cumplimiento de todos los peluqueros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7ft58bupc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de uso principales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(verbo + objeto)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se autentica con usuario y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peluquero ingresa los datos del cliente (run, nombre, teléfono, correo)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ficha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peluquero registra una atención asociada a cliente, tratamiento y fecha/hora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Selecciona tratamiento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peluquero elige el tratamiento desde la lista predefinida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Enviar Notificación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notifica al cliente vía correo/WhatsApp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valoración de seguimiento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peluquero registra valoraciones post-atención según el tipo de servicio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Administrar ficha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administrador modifica o elimina fichas existentes (CRUD)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revisa el avance respecto a la meta del período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Calcular el cumplimiento de la 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calcula si el peluquero alcanzó el 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Gestionar peluqueros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administrador crea, ve, modifica o elimina peluqueros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 entre casos de uso, &lt;&lt;include&gt;&gt; y &lt;&lt;extend&gt;&gt;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Registra Ficha «include» Selecciona Tratamiento — obligatorio en toda ficha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Registra Ficha «include» Realizar Valoración de Seguimiento — obligatorio, según tu regla de negocio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Registra Ficha «extend» Enviar Notificación — opcional, solo si el tratamiento requiere renovación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Registra Ficha «extend» Registrar Cliente — opcional, solo si el cliente es nuevo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Registra Ficha / Consulta Ficha / Consulta Meta «include» Iniciar Sesión — toda operación exige sesión activa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Administrar Ficha «include» Consulta Ficha — para modificar/eliminar primero se consulta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Consulta Meta «include» Calcular Cumplimiento de Meta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específico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que responden a él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Iniciar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y gestión de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cliente, consultar ficha.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Fichas de atención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ficha, seleccionar tratamiento, administrar ficha.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Recordatorios automáticos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Enviar notificación, realizar valoración de seguimiento.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Seguimiento de desempeño de peluqueros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meta, calcular cumplimiento de meta.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(Sin objetivo específico que lo sostenga)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Gestionar peluqueros, está en alcances/RF11, pero ningún objetivo específico del documento lo respalda explícitamente.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