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2E6CA4"/>
          <w:sz w:val="30"/>
          <w:szCs w:val="30"/>
        </w:rPr>
        <w:t xml:space="preserve">Meeder &amp; Seifer</w:t>
      </w:r>
    </w:p>
    <w:p>
      <w:pPr>
        <w:spacing w:after="600"/>
      </w:pPr>
      <w:r>
        <w:rPr>
          <w:color w:val="666666"/>
          <w:sz w:val="22"/>
          <w:szCs w:val="22"/>
        </w:rPr>
        <w:t xml:space="preserve">Family Office  ·  Vermögensverwaltung</w:t>
      </w:r>
    </w:p>
    <w:p>
      <w:pPr>
        <w:spacing w:after="120"/>
      </w:pPr>
      <w:r>
        <w:rPr>
          <w:b/>
          <w:bCs/>
          <w:color w:val="1F3A5F"/>
          <w:sz w:val="56"/>
          <w:szCs w:val="56"/>
        </w:rPr>
        <w:t xml:space="preserve">KI-Workspace „Odysseus“</w:t>
      </w:r>
    </w:p>
    <w:p>
      <w:pPr>
        <w:spacing w:after="80"/>
      </w:pPr>
      <w:r>
        <w:rPr>
          <w:b/>
          <w:bCs/>
          <w:color w:val="1F3A5F"/>
          <w:sz w:val="40"/>
          <w:szCs w:val="40"/>
        </w:rPr>
        <w:t xml:space="preserve">Konzeption &amp; Projektplan</w:t>
      </w:r>
    </w:p>
    <w:p>
      <w:pPr>
        <w:spacing w:after="600"/>
      </w:pPr>
      <w:r>
        <w:rPr>
          <w:color w:val="2E6CA4"/>
          <w:sz w:val="26"/>
          <w:szCs w:val="26"/>
        </w:rPr>
        <w:t xml:space="preserve">Einsatz von KI-Agenten zur Unterstützung der Mitarbeiter</w:t>
      </w:r>
    </w:p>
    <w:p>
      <w:pPr>
        <w:pBdr>
          <w:bottom w:val="single" w:color="2E6CA4" w:sz="6" w:space="1"/>
        </w:pBdr>
        <w:spacing w:after="120"/>
      </w:pPr>
    </w:p>
    <w:p>
      <w:pPr>
        <w:spacing w:after="60"/>
      </w:pPr>
      <w:r>
        <w:rPr>
          <w:sz w:val="22"/>
          <w:szCs w:val="22"/>
        </w:rPr>
        <w:t xml:space="preserve">Strategie- und Umsetzungskonzept für die Weiterentwicklung der</w:t>
      </w:r>
    </w:p>
    <w:p>
      <w:pPr>
        <w:spacing w:after="600"/>
      </w:pPr>
      <w:r>
        <w:rPr>
          <w:sz w:val="22"/>
          <w:szCs w:val="22"/>
        </w:rPr>
        <w:t xml:space="preserve">selbst-gehosteten KI-Plattform unter BaFin-regulierten Rahmenbedingungen</w:t>
      </w:r>
    </w:p>
    <w:p>
      <w:pPr>
        <w:spacing w:after="40" w:before="1200"/>
      </w:pPr>
      <w:r>
        <w:rPr>
          <w:color w:val="666666"/>
          <w:sz w:val="20"/>
          <w:szCs w:val="20"/>
        </w:rPr>
        <w:t xml:space="preserve">Version 1.0  ·  Entwurf zur Abstimmung</w:t>
      </w:r>
    </w:p>
    <w:p>
      <w:pPr>
        <w:spacing w:after="40"/>
      </w:pPr>
      <w:r>
        <w:rPr>
          <w:color w:val="666666"/>
          <w:sz w:val="20"/>
          <w:szCs w:val="20"/>
        </w:rPr>
        <w:t xml:space="preserve">Stand: 17. Juni 2026</w:t>
      </w:r>
    </w:p>
    <w:p>
      <w:pPr>
        <w:spacing w:after="40"/>
      </w:pPr>
      <w:r>
        <w:rPr>
          <w:i/>
          <w:iCs/>
          <w:color w:val="666666"/>
          <w:sz w:val="20"/>
          <w:szCs w:val="20"/>
        </w:rPr>
        <w:t xml:space="preserve">Vertraulich – nur zur internen Verwendung</w:t>
      </w:r>
    </w:p>
    <w:p>
      <w:r>
        <w:br w:type="page"/>
      </w:r>
    </w:p>
    <w:p>
      <w:pPr>
        <w:pStyle w:val="Heading1"/>
      </w:pPr>
      <w:r>
        <w:t xml:space="preserve">Inhaltsverzeichnis</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Management Summary</w:t>
      </w:r>
    </w:p>
    <w:p>
      <w:pPr>
        <w:spacing w:after="120" w:line="276"/>
      </w:pPr>
      <w:r>
        <w:rPr>
          <w:b/>
          <w:bCs/>
        </w:rPr>
        <w:t xml:space="preserve">Ausgangspunkt. </w:t>
      </w:r>
      <w:r>
        <w:t xml:space="preserve">Mit „Odysseus“ liegt bereits eine vollständig selbst-gehostete, mandantenfähige KI-Arbeitsumgebung vor. Sie vereint Chat, autonome Agenten, Tool- und Skill-Ausführung, Dokumenten- und E-Mail-Bearbeitung, Kalender, Wissensdatenbank (RAG) sowie geplante Hintergrund-Aufgaben in einer einzigen, lokal betreibbaren Plattform. Zwei maßgeschneiderte Fachbausteine – ein Fonds-Analyse- und ein Kontoabgleich-Skill – zeigen, dass die Plattform bereits heute auf die Domäne von Meeder &amp; Seifer zugeschnitten werden kann.</w:t>
      </w:r>
    </w:p>
    <w:p>
      <w:pPr>
        <w:spacing w:after="120" w:line="276"/>
      </w:pPr>
      <w:r>
        <w:rPr>
          <w:b/>
          <w:bCs/>
        </w:rPr>
        <w:t xml:space="preserve">Zielsetzung. </w:t>
      </w:r>
      <w:r>
        <w:t xml:space="preserve">Odysseus soll von einem leistungsfähigen Werkzeug zu einer durchgängigen „KI-Mitarbeiter“-Plattform ausgebaut werden: spezialisierte KI-Agenten, die wiederkehrende und wissensintensive Tätigkeiten in der Vermögensverwaltung, im Family-Office-Betrieb und in der Kundenkommunikation unterstützen – stets unter menschlicher Aufsicht und im Einklang mit den aufsichtsrechtlichen Anforderungen einer lizenzierten Vermögensverwaltung.</w:t>
      </w:r>
    </w:p>
    <w:p>
      <w:pPr>
        <w:spacing w:after="120" w:line="276"/>
      </w:pPr>
      <w:r>
        <w:rPr>
          <w:b/>
          <w:bCs/>
        </w:rPr>
        <w:t xml:space="preserve">Kernaussage. </w:t>
      </w:r>
      <w:r>
        <w:t xml:space="preserve">Die Plattform ist technisch reif genug, um zeitnah produktiven Nutzen zu stiften. Der entscheidende Hebel liegt nicht in einer Neuentwicklung, sondern in (1) der konsequenten Fachanpassung über Skills und Wissensbasis, (2) einem belastbaren Governance- und Datenschutzrahmen und (3) einer schrittweisen, risikoarmen Einführung entlang klar priorisierter Anwendungsfälle.</w:t>
      </w:r>
    </w:p>
    <w:p>
      <w:pPr>
        <w:pStyle w:val="Heading3"/>
      </w:pPr>
      <w:r>
        <w:t xml:space="preserve">Empfohlenes Vorgehen in fünf Phasen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900"/>
        <w:gridCol w:w="5840"/>
      </w:tblGrid>
      <w:tr>
        <w:trPr>
          <w:tblHeader/>
        </w:trPr>
        <w:tc>
          <w:tcPr>
            <w:tcW w:type="dxa" w:w="62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Phase</w:t>
            </w:r>
          </w:p>
        </w:tc>
        <w:tc>
          <w:tcPr>
            <w:tcW w:type="dxa" w:w="29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Schwerpunkt</w:t>
            </w:r>
          </w:p>
        </w:tc>
        <w:tc>
          <w:tcPr>
            <w:tcW w:type="dxa" w:w="584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Ergebnis</w:t>
            </w:r>
          </w:p>
        </w:tc>
      </w:tr>
      <w:tr>
        <w:tc>
          <w:tcPr>
            <w:tcW w:type="dxa" w:w="62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0</w:t>
            </w:r>
          </w:p>
        </w:tc>
        <w:tc>
          <w:tcPr>
            <w:tcW w:type="dxa" w:w="29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Fundament &amp; Governance</w:t>
            </w:r>
          </w:p>
        </w:tc>
        <w:tc>
          <w:tcPr>
            <w:tcW w:type="dxa" w:w="584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Sicherer On-Prem-Betrieb, Rollen-/Rechtekonzept, Datenschutz- und Compliance-Leitplanken, Pilotteam.</w:t>
            </w:r>
          </w:p>
        </w:tc>
      </w:tr>
      <w:tr>
        <w:tc>
          <w:tcPr>
            <w:tcW w:type="dxa" w:w="62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1</w:t>
            </w:r>
          </w:p>
        </w:tc>
        <w:tc>
          <w:tcPr>
            <w:tcW w:type="dxa" w:w="29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Quick Wins</w:t>
            </w:r>
          </w:p>
        </w:tc>
        <w:tc>
          <w:tcPr>
            <w:tcW w:type="dxa" w:w="584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Drei bis vier Agenten mit hohem Nutzen und geringem Risiko (z. B. Fondsanalyse, Kontoabgleich, Recherche, Entwurfshilfe).</w:t>
            </w:r>
          </w:p>
        </w:tc>
      </w:tr>
      <w:tr>
        <w:tc>
          <w:tcPr>
            <w:tcW w:type="dxa" w:w="62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2</w:t>
            </w:r>
          </w:p>
        </w:tc>
        <w:tc>
          <w:tcPr>
            <w:tcW w:type="dxa" w:w="29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Vermögensverwaltung</w:t>
            </w:r>
          </w:p>
        </w:tc>
        <w:tc>
          <w:tcPr>
            <w:tcW w:type="dxa" w:w="584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Research-, Reporting- und Anlageausschuss-Unterstützung mit Anbindung interner Daten.</w:t>
            </w:r>
          </w:p>
        </w:tc>
      </w:tr>
      <w:tr>
        <w:tc>
          <w:tcPr>
            <w:tcW w:type="dxa" w:w="62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3</w:t>
            </w:r>
          </w:p>
        </w:tc>
        <w:tc>
          <w:tcPr>
            <w:tcW w:type="dxa" w:w="29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Family-Office-Betrieb</w:t>
            </w:r>
          </w:p>
        </w:tc>
        <w:tc>
          <w:tcPr>
            <w:tcW w:type="dxa" w:w="584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Dokumenten-, Reconciliation- und Reporting-Agenten für den operativen Tagesbetrieb.</w:t>
            </w:r>
          </w:p>
        </w:tc>
      </w:tr>
      <w:tr>
        <w:tc>
          <w:tcPr>
            <w:tcW w:type="dxa" w:w="62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4</w:t>
            </w:r>
          </w:p>
        </w:tc>
        <w:tc>
          <w:tcPr>
            <w:tcW w:type="dxa" w:w="29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Kundenkommunikation &amp; Skalierung</w:t>
            </w:r>
          </w:p>
        </w:tc>
        <w:tc>
          <w:tcPr>
            <w:tcW w:type="dxa" w:w="584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Entwurfs- und Aufbereitungs-Agenten für Kundenkontakt, Rollout auf alle Mitarbeiter, kontinuierliche Verbesserung.</w:t>
            </w:r>
          </w:p>
        </w:tc>
      </w:tr>
    </w:tbl>
    <w:p>
      <w:pPr>
        <w:spacing w:after="60"/>
      </w:pPr>
    </w:p>
    <w:p>
      <w:pPr>
        <w:spacing w:after="120" w:line="276"/>
      </w:pPr>
      <w:r>
        <w:rPr>
          <w:b/>
          <w:bCs/>
        </w:rPr>
        <w:t xml:space="preserve">Nutzenversprechen. </w:t>
      </w:r>
      <w:r>
        <w:t xml:space="preserve">Entlastung der Mitarbeiter von Routine- und Aufbereitungsarbeit, höhere Geschwindigkeit und Konsistenz in Analyse und Reporting, durchsuchbares Hauswissen sowie eine skalierbare Grundlage, die im eigenen Haus betrieben wird und damit die Hoheit über sensible Mandantendaten wahrt.</w:t>
      </w:r>
    </w:p>
    <w:p>
      <w:r>
        <w:br w:type="page"/>
      </w:r>
    </w:p>
    <w:p>
      <w:pPr>
        <w:pStyle w:val="Heading1"/>
      </w:pPr>
      <w:r>
        <w:t xml:space="preserve">2  Ausgangslage und Zielsetzung</w:t>
      </w:r>
    </w:p>
    <w:p>
      <w:pPr>
        <w:pStyle w:val="Heading2"/>
      </w:pPr>
      <w:r>
        <w:t xml:space="preserve">2.1  Ausgangslage</w:t>
      </w:r>
    </w:p>
    <w:p>
      <w:pPr>
        <w:spacing w:after="120" w:line="276"/>
      </w:pPr>
      <w:r>
        <w:t xml:space="preserve">Meeder &amp; Seifer betreibt ein Family Office und eine Vermögensverwaltung. Beide Bereiche sind geprägt von wissensintensiver Facharbeit, hohen Anforderungen an Sorgfalt und Vertraulichkeit sowie einer Vielzahl wiederkehrender, dokumentenlastiger Tätigkeiten – von der Fonds- und Portfolioanalyse über Reporting und Kontoabstimmung bis zur individuellen Kundenkommunikation. Gleichzeitig unterliegt die Vermögensverwaltung der Aufsicht der BaFin; der Umgang mit personenbezogenen und finanziellen Daten ist streng reguliert.</w:t>
      </w:r>
    </w:p>
    <w:p>
      <w:pPr>
        <w:spacing w:after="120" w:line="276"/>
      </w:pPr>
      <w:r>
        <w:t xml:space="preserve">Mit Odysseus steht bereits eine eigene, selbst-gehostete KI-Plattform zur Verfügung. Sie wird im Haus betrieben (Docker/On-Premises) und muss keine Daten an externe Dienste abgeben. Damit ist die wichtigste Grundvoraussetzung für den Einsatz von KI in einem regulierten Umfeld – die Datenhoheit – bereits erfüllt.</w:t>
      </w:r>
    </w:p>
    <w:p>
      <w:pPr>
        <w:pStyle w:val="Heading2"/>
      </w:pPr>
      <w:r>
        <w:t xml:space="preserve">2.2  Zielsetzung</w:t>
      </w:r>
    </w:p>
    <w:p>
      <w:pPr>
        <w:spacing w:after="120" w:line="276"/>
      </w:pPr>
      <w:r>
        <w:t xml:space="preserve">Ziel ist der Aufbau eines abgestuften „KI-Agenten“-Ökosystems, das die Mitarbeiter in ihrer täglichen Arbeit unterstützt, ohne fachliche Verantwortung oder Entscheidungskompetenz an die Maschine abzugeben. Konkret verfolgt das Projekt folgende Ziele:</w:t>
      </w:r>
    </w:p>
    <w:p>
      <w:pPr>
        <w:pStyle w:val="ListParagraph"/>
        <w:numPr>
          <w:ilvl w:val="0"/>
          <w:numId w:val="2"/>
        </w:numPr>
        <w:spacing w:after="60" w:line="264"/>
      </w:pPr>
      <w:r>
        <w:rPr>
          <w:b/>
          <w:bCs/>
        </w:rPr>
        <w:t xml:space="preserve">Entlastung: </w:t>
      </w:r>
      <w:r>
        <w:t xml:space="preserve">Übernahme von Routine-, Recherche- und Aufbereitungsaufgaben durch Agenten.</w:t>
      </w:r>
    </w:p>
    <w:p>
      <w:pPr>
        <w:pStyle w:val="ListParagraph"/>
        <w:numPr>
          <w:ilvl w:val="0"/>
          <w:numId w:val="2"/>
        </w:numPr>
        <w:spacing w:after="60" w:line="264"/>
      </w:pPr>
      <w:r>
        <w:rPr>
          <w:b/>
          <w:bCs/>
        </w:rPr>
        <w:t xml:space="preserve">Qualität &amp; Konsistenz: </w:t>
      </w:r>
      <w:r>
        <w:t xml:space="preserve">Einheitliche, nachvollziehbare Analysen, Reportings und Entwürfe nach Hausstandard.</w:t>
      </w:r>
    </w:p>
    <w:p>
      <w:pPr>
        <w:pStyle w:val="ListParagraph"/>
        <w:numPr>
          <w:ilvl w:val="0"/>
          <w:numId w:val="2"/>
        </w:numPr>
        <w:spacing w:after="60" w:line="264"/>
      </w:pPr>
      <w:r>
        <w:rPr>
          <w:b/>
          <w:bCs/>
        </w:rPr>
        <w:t xml:space="preserve">Wissenszugang: </w:t>
      </w:r>
      <w:r>
        <w:t xml:space="preserve">Durchsuchbares, kontrolliertes Hauswissen (Richtlinien, Vorlagen, historische Auswertungen).</w:t>
      </w:r>
    </w:p>
    <w:p>
      <w:pPr>
        <w:pStyle w:val="ListParagraph"/>
        <w:numPr>
          <w:ilvl w:val="0"/>
          <w:numId w:val="2"/>
        </w:numPr>
        <w:spacing w:after="60" w:line="264"/>
      </w:pPr>
      <w:r>
        <w:rPr>
          <w:b/>
          <w:bCs/>
        </w:rPr>
        <w:t xml:space="preserve">Geschwindigkeit: </w:t>
      </w:r>
      <w:r>
        <w:t xml:space="preserve">Schnellere Durchlaufzeiten bei gleichbleibender oder höherer Sorgfalt.</w:t>
      </w:r>
    </w:p>
    <w:p>
      <w:pPr>
        <w:pStyle w:val="ListParagraph"/>
        <w:numPr>
          <w:ilvl w:val="0"/>
          <w:numId w:val="2"/>
        </w:numPr>
        <w:spacing w:after="60" w:line="264"/>
      </w:pPr>
      <w:r>
        <w:rPr>
          <w:b/>
          <w:bCs/>
        </w:rPr>
        <w:t xml:space="preserve">Regelkonformität: </w:t>
      </w:r>
      <w:r>
        <w:t xml:space="preserve">Einsatz im Rahmen von MaRisk, WpHG/MiFID II, DSGVO und EU-KI-Verordnung – mit menschlicher Letztverantwortung.</w:t>
      </w:r>
    </w:p>
    <w:p>
      <w:pPr>
        <w:pStyle w:val="Heading2"/>
      </w:pPr>
      <w:r>
        <w:t xml:space="preserve">2.3  Leitprinzipien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Prinzip</w:t>
            </w:r>
          </w:p>
        </w:tc>
        <w:tc>
          <w:tcPr>
            <w:tcW w:type="dxa" w:w="676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Bedeutung für Meeder &amp; Seifer</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Mensch entscheidet</w:t>
            </w:r>
          </w:p>
        </w:tc>
        <w:tc>
          <w:tcPr>
            <w:tcW w:type="dxa" w:w="6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Agenten liefern Vorschläge und Entwürfe; jede außenwirksame oder anlagerelevante Handlung wird von einem Mitarbeiter geprüft und freigegeben (Human-in-the-Loop).</w:t>
            </w:r>
          </w:p>
        </w:tc>
      </w:tr>
      <w:tr>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Datenhoheit</w:t>
            </w:r>
          </w:p>
        </w:tc>
        <w:tc>
          <w:tcPr>
            <w:tcW w:type="dxa" w:w="6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Sensible Daten bleiben im Haus. Lokale Modelle und On-Prem-Betrieb sind der Standard; externe Modelle nur bei nachgewiesen tragfähigem Datenschutz.</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Nachvollziehbarkeit</w:t>
            </w:r>
          </w:p>
        </w:tc>
        <w:tc>
          <w:tcPr>
            <w:tcW w:type="dxa" w:w="6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Jeder Agentenlauf ist protokolliert und reproduzierbar – Grundlage für Revision und Aufsicht.</w:t>
            </w:r>
          </w:p>
        </w:tc>
      </w:tr>
      <w:tr>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Schrittweise Einführung</w:t>
            </w:r>
          </w:p>
        </w:tc>
        <w:tc>
          <w:tcPr>
            <w:tcW w:type="dxa" w:w="6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Start mit risikoarmen Use-Cases, Lernschleifen, dann Ausweitung. Kein „Big Bang“.</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Geringste Rechte</w:t>
            </w:r>
          </w:p>
        </w:tc>
        <w:tc>
          <w:tcPr>
            <w:tcW w:type="dxa" w:w="6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Jeder Agent erhält nur die Werkzeuge und Datenzugriffe, die er für seine Aufgabe zwingend benötigt.</w:t>
            </w:r>
          </w:p>
        </w:tc>
      </w:tr>
    </w:tbl>
    <w:p>
      <w:r>
        <w:br w:type="page"/>
      </w:r>
    </w:p>
    <w:p>
      <w:pPr>
        <w:pStyle w:val="Heading1"/>
      </w:pPr>
      <w:r>
        <w:t xml:space="preserve">3  Analyse der Plattform Odysseus</w:t>
      </w:r>
    </w:p>
    <w:p>
      <w:pPr>
        <w:spacing w:after="120" w:line="276"/>
      </w:pPr>
      <w:r>
        <w:t xml:space="preserve">Die folgende Analyse fasst den Funktionsumfang und die Architektur von Odysseus zusammen und bewertet die Eignung als Fundament für das Vorhaben.</w:t>
      </w:r>
    </w:p>
    <w:p>
      <w:pPr>
        <w:pStyle w:val="Heading2"/>
      </w:pPr>
      <w:r>
        <w:t xml:space="preserve">3.1  Funktionsumfang (Ist-Zustand)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Baustein</w:t>
            </w:r>
          </w:p>
        </w:tc>
        <w:tc>
          <w:tcPr>
            <w:tcW w:type="dxa" w:w="686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Funktion</w:t>
            </w:r>
          </w:p>
        </w:tc>
      </w:tr>
      <w:tr>
        <w:tc>
          <w:tcPr>
            <w:tcW w:type="dxa" w:w="25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Chat &amp; Agenten</w:t>
            </w:r>
          </w:p>
        </w:tc>
        <w:tc>
          <w:tcPr>
            <w:tcW w:type="dxa" w:w="68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Dialog mit lokalen oder API-Modellen; autonome Agenten-Schleife mit mehrstufiger Werkzeugnutzung (Tools, Shell, Dateizugriff).</w:t>
            </w:r>
          </w:p>
        </w:tc>
      </w:tr>
      <w:tr>
        <w:tc>
          <w:tcPr>
            <w:tcW w:type="dxa" w:w="25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Skills</w:t>
            </w:r>
          </w:p>
        </w:tc>
        <w:tc>
          <w:tcPr>
            <w:tcW w:type="dxa" w:w="68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Wiederverwendbare Fachprozeduren mit Anleitungen und Skripten – der zentrale Hebel für Fachanpassung (z. B. vorhandene Skills „Fonds-Analyse“ und „Kontoabgleich“).</w:t>
            </w:r>
          </w:p>
        </w:tc>
      </w:tr>
      <w:tr>
        <w:tc>
          <w:tcPr>
            <w:tcW w:type="dxa" w:w="25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MCP-Server</w:t>
            </w:r>
          </w:p>
        </w:tc>
        <w:tc>
          <w:tcPr>
            <w:tcW w:type="dxa" w:w="68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Standardisierte Werkzeug-Schnittstelle (Model Context Protocol). Mitgeliefert u. a. für E-Mail, Wissensbasis, Memory und Bildgenerierung; eigene Server anschließbar.</w:t>
            </w:r>
          </w:p>
        </w:tc>
      </w:tr>
      <w:tr>
        <w:tc>
          <w:tcPr>
            <w:tcW w:type="dxa" w:w="25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Wissensbasis (RAG)</w:t>
            </w:r>
          </w:p>
        </w:tc>
        <w:tc>
          <w:tcPr>
            <w:tcW w:type="dxa" w:w="68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Lokale Vektordatenbank (ChromaDB) für Dokumentensuche und kontextbezogenes Antworten; persönliche Dokumentenablage und Embeddings.</w:t>
            </w:r>
          </w:p>
        </w:tc>
      </w:tr>
      <w:tr>
        <w:tc>
          <w:tcPr>
            <w:tcW w:type="dxa" w:w="25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Deep Research</w:t>
            </w:r>
          </w:p>
        </w:tc>
        <w:tc>
          <w:tcPr>
            <w:tcW w:type="dxa" w:w="68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Mehrstufige Recherche mit Quellenauswertung und Berichtserstellung.</w:t>
            </w:r>
          </w:p>
        </w:tc>
      </w:tr>
      <w:tr>
        <w:tc>
          <w:tcPr>
            <w:tcW w:type="dxa" w:w="25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Dokumente</w:t>
            </w:r>
          </w:p>
        </w:tc>
        <w:tc>
          <w:tcPr>
            <w:tcW w:type="dxa" w:w="68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Schreib- und Editor-Funktionen mit KI-Unterstützung; Office-/PDF-Verarbeitung.</w:t>
            </w:r>
          </w:p>
        </w:tc>
      </w:tr>
      <w:tr>
        <w:tc>
          <w:tcPr>
            <w:tcW w:type="dxa" w:w="25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E-Mail</w:t>
            </w:r>
          </w:p>
        </w:tc>
        <w:tc>
          <w:tcPr>
            <w:tcW w:type="dxa" w:w="68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IMAP/SMTP-Postfach mit Triage, Zusammenfassungen, Erinnerungen und Antwort-Entwürfen.</w:t>
            </w:r>
          </w:p>
        </w:tc>
      </w:tr>
      <w:tr>
        <w:tc>
          <w:tcPr>
            <w:tcW w:type="dxa" w:w="25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Notizen, Aufgaben &amp; Kalender</w:t>
            </w:r>
          </w:p>
        </w:tc>
        <w:tc>
          <w:tcPr>
            <w:tcW w:type="dxa" w:w="68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To-dos, Erinnerungen, CalDAV-Synchronisation.</w:t>
            </w:r>
          </w:p>
        </w:tc>
      </w:tr>
      <w:tr>
        <w:tc>
          <w:tcPr>
            <w:tcW w:type="dxa" w:w="25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Aufgaben-Planer</w:t>
            </w:r>
          </w:p>
        </w:tc>
        <w:tc>
          <w:tcPr>
            <w:tcW w:type="dxa" w:w="68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Zeit-/regelgesteuerte Hintergrund-Agenten (geplante Aufgaben) – Basis für wiederkehrende Automatisierung.</w:t>
            </w:r>
          </w:p>
        </w:tc>
      </w:tr>
      <w:tr>
        <w:tc>
          <w:tcPr>
            <w:tcW w:type="dxa" w:w="25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Modellbetrieb</w:t>
            </w:r>
          </w:p>
        </w:tc>
        <w:tc>
          <w:tcPr>
            <w:tcW w:type="dxa" w:w="68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Lokale Modelle (u. a. über Ollama/llama.cpp/SGLang) oder API-Anbieter (Anthropic, OpenAI, Gemini u. a.); hardwarebewusste Modellempfehlungen.</w:t>
            </w:r>
          </w:p>
        </w:tc>
      </w:tr>
      <w:tr>
        <w:tc>
          <w:tcPr>
            <w:tcW w:type="dxa" w:w="25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Mehrbenutzer &amp; Rechte</w:t>
            </w:r>
          </w:p>
        </w:tc>
        <w:tc>
          <w:tcPr>
            <w:tcW w:type="dxa" w:w="68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Benutzerverwaltung mit Admin-/Standardrollen und feingranularen Privilegien (z. B. Agent-, Shell-, Dokumenten-, Research-, Modellnutzung), 2-Faktor-Authentifizierung.</w:t>
            </w:r>
          </w:p>
        </w:tc>
      </w:tr>
    </w:tbl>
    <w:p>
      <w:pPr>
        <w:pStyle w:val="Heading2"/>
      </w:pPr>
      <w:r>
        <w:t xml:space="preserve">3.2  Architektur in Kürze</w:t>
      </w:r>
    </w:p>
    <w:p>
      <w:pPr>
        <w:spacing w:after="120" w:line="276"/>
      </w:pPr>
      <w:r>
        <w:t xml:space="preserve">Odysseus ist eine modulare Python-Anwendung (FastAPI). Die Fachlogik liegt in einer Service- und Werkzeugschicht; HTTP-Endpunkte, Datenhaltung, Agenten-Schleife, Tool-Ausführung, MCP-Anbindung, Skill- und Speicher-/RAG-Verwaltung sind klar getrennte Bausteine. Der Betrieb erfolgt containerisiert über Docker; sämtliche Nutzdaten (Datenbank, Wissensbasis, Uploads, Logs) werden lokal vorgehalten.</w:t>
      </w:r>
    </w:p>
    <w:p>
      <w:pPr>
        <w:spacing w:after="120" w:line="276"/>
      </w:pPr>
      <w:r>
        <w:rPr>
          <w:b/>
          <w:bCs/>
        </w:rPr>
        <w:t xml:space="preserve">Für das Vorhaben besonders relevant: </w:t>
      </w:r>
      <w:r>
        <w:t xml:space="preserve">Die drei Erweiterungspunkte </w:t>
      </w:r>
      <w:r>
        <w:rPr>
          <w:b/>
          <w:bCs/>
        </w:rPr>
        <w:t xml:space="preserve">Skills</w:t>
      </w:r>
      <w:r>
        <w:t xml:space="preserve"> (Fachprozeduren), </w:t>
      </w:r>
      <w:r>
        <w:rPr>
          <w:b/>
          <w:bCs/>
        </w:rPr>
        <w:t xml:space="preserve">MCP-Server</w:t>
      </w:r>
      <w:r>
        <w:t xml:space="preserve"> (Anbindung interner Systeme als Werkzeuge) und </w:t>
      </w:r>
      <w:r>
        <w:rPr>
          <w:b/>
          <w:bCs/>
        </w:rPr>
        <w:t xml:space="preserve">geplante Aufgaben</w:t>
      </w:r>
      <w:r>
        <w:t xml:space="preserve"> (Automatisierung) erlauben es, neue Agenten überwiegend durch Konfiguration und kleine, gut testbare Bausteine zu schaffen – ohne tiefe Eingriffe in den Kern.</w:t>
      </w:r>
    </w:p>
    <w:p>
      <w:pPr>
        <w:pStyle w:val="Heading2"/>
      </w:pPr>
      <w:r>
        <w:t xml:space="preserve">3.3  Stärken und Lücken im Hinblick auf Meeder &amp; Seifer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Stärken</w:t>
            </w:r>
          </w:p>
        </w:tc>
        <w:tc>
          <w:tcPr>
            <w:tcW w:type="dxa" w:w="468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Lücken / Handlungsbedarf</w:t>
            </w:r>
          </w:p>
        </w:tc>
      </w:tr>
      <w:tr>
        <w:tc>
          <w:tcPr>
            <w:tcW w:type="dxa" w:w="46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Vollständig selbst-gehostet – Datenhoheit gewahrt.</w:t>
            </w:r>
          </w:p>
        </w:tc>
        <w:tc>
          <w:tcPr>
            <w:tcW w:type="dxa" w:w="46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Aufsichtskonformes Betriebs-, Protokollierungs- und Freigabekonzept noch zu definieren.</w:t>
            </w:r>
          </w:p>
        </w:tc>
      </w:tr>
      <w:tr>
        <w:tc>
          <w:tcPr>
            <w:tcW w:type="dxa" w:w="46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Erweiterbar über Skills, MCP und geplante Aufgaben.</w:t>
            </w:r>
          </w:p>
        </w:tc>
        <w:tc>
          <w:tcPr>
            <w:tcW w:type="dxa" w:w="46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Anbindung interner Systeme (Family-Office-Software, Banken, Depotdaten) als MCP-Werkzeuge noch zu schaffen.</w:t>
            </w:r>
          </w:p>
        </w:tc>
      </w:tr>
      <w:tr>
        <w:tc>
          <w:tcPr>
            <w:tcW w:type="dxa" w:w="46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Mehrbenutzer mit feingranularen Rechten und 2FA.</w:t>
            </w:r>
          </w:p>
        </w:tc>
        <w:tc>
          <w:tcPr>
            <w:tcW w:type="dxa" w:w="46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Rollen-/Berechtigungsmodell auf die Aufbauorganisation von M&amp;S abzubilden.</w:t>
            </w:r>
          </w:p>
        </w:tc>
      </w:tr>
      <w:tr>
        <w:tc>
          <w:tcPr>
            <w:tcW w:type="dxa" w:w="46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Bereits zwei domänenspezifische Skills vorhanden.</w:t>
            </w:r>
          </w:p>
        </w:tc>
        <w:tc>
          <w:tcPr>
            <w:tcW w:type="dxa" w:w="46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Weitere Fach-Skills (Reporting, Research, Schriftverkehr) und Hauswissen aufzubauen.</w:t>
            </w:r>
          </w:p>
        </w:tc>
      </w:tr>
      <w:tr>
        <w:tc>
          <w:tcPr>
            <w:tcW w:type="dxa" w:w="46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Lokale Modelle möglich (kein Datenabfluss).</w:t>
            </w:r>
          </w:p>
        </w:tc>
        <w:tc>
          <w:tcPr>
            <w:tcW w:type="dxa" w:w="46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Modellauswahl/-betrieb (Qualität vs. Hardware) für den produktiven Einsatz zu härten.</w:t>
            </w:r>
          </w:p>
        </w:tc>
      </w:tr>
      <w:tr>
        <w:tc>
          <w:tcPr>
            <w:tcW w:type="dxa" w:w="46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Geplante Aufgaben für wiederkehrende Automatisierung.</w:t>
            </w:r>
          </w:p>
        </w:tc>
        <w:tc>
          <w:tcPr>
            <w:tcW w:type="dxa" w:w="46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Monitoring, Fehlerbehandlung und „Mensch-im-Kreis“-Eskalation produktiv abzusichern.</w:t>
            </w:r>
          </w:p>
        </w:tc>
      </w:tr>
    </w:tbl>
    <w:p>
      <w:pPr>
        <w:spacing w:after="120" w:line="276"/>
      </w:pPr>
      <w:r>
        <w:rPr>
          <w:b/>
          <w:bCs/>
        </w:rPr>
        <w:t xml:space="preserve">Hinweis: </w:t>
      </w:r>
      <w:r>
        <w:rPr>
          <w:i/>
          <w:iCs/>
          <w:color w:val="666666"/>
        </w:rPr>
        <w:t xml:space="preserve">Die quelloffene Roadmap des Projekts benennt offene Punkte (u. a. Kontextbudget kleiner Modelle, Prompt-Injection-Härtung, Stabilität einzelner Integrationen). Diese sind im Projektplan als Reifegrad-Maßnahmen berücksichtigt.</w:t>
      </w:r>
    </w:p>
    <w:p>
      <w:r>
        <w:br w:type="page"/>
      </w:r>
    </w:p>
    <w:p>
      <w:pPr>
        <w:pStyle w:val="Heading1"/>
      </w:pPr>
      <w:r>
        <w:t xml:space="preserve">4  Zielbild: KI-Agenten im Family Office und in der Vermögensverwaltung</w:t>
      </w:r>
    </w:p>
    <w:p>
      <w:pPr>
        <w:spacing w:after="120" w:line="276"/>
      </w:pPr>
      <w:r>
        <w:t xml:space="preserve">Das Zielbild ist ein Team spezialisierter KI-Agenten, die wie digitale Assistenten konkrete Aufgaben übernehmen – eng begrenzt, gut dokumentiert und jederzeit unter menschlicher Kontrolle. Statt eines einzelnen „Allzweck-Assistenten“ entstehen mehrere klar umrissene Agenten mit definiertem Zweck, Werkzeugkasten und Datenzugriff.</w:t>
      </w:r>
    </w:p>
    <w:p>
      <w:pPr>
        <w:pStyle w:val="Heading2"/>
      </w:pPr>
      <w:r>
        <w:t xml:space="preserve">4.1  Was ist ein „Agent“ in diesem Kontext?</w:t>
      </w:r>
    </w:p>
    <w:p>
      <w:pPr>
        <w:spacing w:after="120" w:line="276"/>
      </w:pPr>
      <w:r>
        <w:t xml:space="preserve">Ein Agent kombiniert ein Sprachmodell mit (a) einer Fachanleitung (Skill), (b) einem begrenzten Werkzeugkasten (z. B. Dokumentensuche, Rechnen, E-Mail-Entwurf, Zugriff auf ein internes System über MCP) und (c) klaren Leitplanken (Rechte, Freigaben, Protokollierung). Agenten können auf Zuruf (im Chat) oder zeitgesteuert (geplante Aufgabe) arbeiten.</w:t>
      </w:r>
    </w:p>
    <w:p>
      <w:pPr>
        <w:pStyle w:val="Heading2"/>
      </w:pPr>
      <w:r>
        <w:t xml:space="preserve">4.2  Drei Wirkungsfelder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Wirkungsfeld</w:t>
            </w:r>
          </w:p>
        </w:tc>
        <w:tc>
          <w:tcPr>
            <w:tcW w:type="dxa" w:w="676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Beitrag der Agenten</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Vermögensverwaltung</w:t>
            </w:r>
          </w:p>
        </w:tc>
        <w:tc>
          <w:tcPr>
            <w:tcW w:type="dxa" w:w="6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Markt- und Fondsresearch, Aufbereitung von Portfolio- und Performance-Daten, Vorbereitung von Anlageausschuss-Unterlagen, Erstellung von Reporting-Entwürfen.</w:t>
            </w:r>
          </w:p>
        </w:tc>
      </w:tr>
      <w:tr>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Family-Office-Betrieb</w:t>
            </w:r>
          </w:p>
        </w:tc>
        <w:tc>
          <w:tcPr>
            <w:tcW w:type="dxa" w:w="6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Kontoabgleich/Reconciliation, Dokumentenmanagement und -extraktion, Vermögensübersichten und Liquiditätsreporting, Fristen- und Vorgangsverfolgung.</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Kundenkommunikation</w:t>
            </w:r>
          </w:p>
        </w:tc>
        <w:tc>
          <w:tcPr>
            <w:tcW w:type="dxa" w:w="6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Entwürfe für Anschreiben und Reportings, Vorbereitung von Kundenterminen, strukturierte Beantwortung von Standardanfragen, Onboarding-Unterstützung.</w:t>
            </w:r>
          </w:p>
        </w:tc>
      </w:tr>
    </w:tbl>
    <w:p>
      <w:pPr>
        <w:pStyle w:val="Heading2"/>
      </w:pPr>
      <w:r>
        <w:t xml:space="preserve">4.3  Mensch-Maschine-Zusammenspiel</w:t>
      </w:r>
    </w:p>
    <w:p>
      <w:pPr>
        <w:spacing w:after="120" w:line="276"/>
      </w:pPr>
      <w:r>
        <w:t xml:space="preserve">Für jeden Use-Case wird der Autonomiegrad bewusst festgelegt. Drei Stufen dienen als Raster:</w:t>
      </w:r>
    </w:p>
    <w:p>
      <w:pPr>
        <w:pStyle w:val="ListParagraph"/>
        <w:numPr>
          <w:ilvl w:val="0"/>
          <w:numId w:val="3"/>
        </w:numPr>
        <w:spacing w:after="60" w:line="264"/>
      </w:pPr>
      <w:r>
        <w:rPr>
          <w:b/>
          <w:bCs/>
        </w:rPr>
        <w:t xml:space="preserve">Assistenz (Stufe 1): </w:t>
      </w:r>
      <w:r>
        <w:t xml:space="preserve">Der Agent liefert Information, Analyse oder Entwurf; der Mitarbeiter nutzt das Ergebnis frei. Kein Außenkontakt, keine Buchung.</w:t>
      </w:r>
    </w:p>
    <w:p>
      <w:pPr>
        <w:pStyle w:val="ListParagraph"/>
        <w:numPr>
          <w:ilvl w:val="0"/>
          <w:numId w:val="3"/>
        </w:numPr>
        <w:spacing w:after="60" w:line="264"/>
      </w:pPr>
      <w:r>
        <w:rPr>
          <w:b/>
          <w:bCs/>
        </w:rPr>
        <w:t xml:space="preserve">Vorschlag mit Freigabe (Stufe 2): </w:t>
      </w:r>
      <w:r>
        <w:t xml:space="preserve">Der Agent erstellt ein konkretes Arbeitsergebnis (z. B. Reporting, E-Mail-Entwurf); ein Mitarbeiter gibt es vor Verwendung frei.</w:t>
      </w:r>
    </w:p>
    <w:p>
      <w:pPr>
        <w:pStyle w:val="ListParagraph"/>
        <w:numPr>
          <w:ilvl w:val="0"/>
          <w:numId w:val="3"/>
        </w:numPr>
        <w:spacing w:after="60" w:line="264"/>
      </w:pPr>
      <w:r>
        <w:rPr>
          <w:b/>
          <w:bCs/>
        </w:rPr>
        <w:t xml:space="preserve">Überwachte Automatisierung (Stufe 3): </w:t>
      </w:r>
      <w:r>
        <w:t xml:space="preserve">Wiederkehrende, klar definierte Aufgaben laufen geplant; Abweichungen werden eskaliert. Nur für interne, gut abgesicherte Vorgänge.</w:t>
      </w:r>
    </w:p>
    <w:p>
      <w:pPr>
        <w:spacing w:after="120" w:line="276"/>
      </w:pPr>
      <w:r>
        <w:rPr>
          <w:b/>
          <w:bCs/>
        </w:rPr>
        <w:t xml:space="preserve">Grundsatz: </w:t>
      </w:r>
      <w:r>
        <w:t xml:space="preserve">Anlageentscheidungen, Geldbewegungen, Vertrags- und außenwirksame Kundenkommunikation verbleiben stets in menschlicher Verantwortung. Agenten bereiten vor – sie entscheiden nicht.</w:t>
      </w:r>
    </w:p>
    <w:p>
      <w:r>
        <w:br w:type="page"/>
      </w:r>
    </w:p>
    <w:p>
      <w:pPr>
        <w:pStyle w:val="Heading1"/>
      </w:pPr>
      <w:r>
        <w:t xml:space="preserve">5  Use-Case-Katalog</w:t>
      </w:r>
    </w:p>
    <w:p>
      <w:pPr>
        <w:spacing w:after="120" w:line="276"/>
      </w:pPr>
      <w:r>
        <w:t xml:space="preserve">Der Katalog priorisiert Anwendungsfälle nach Nutzen und Umsetzungsrisiko. „Aufwand“ und „Nutzen“ sind als erste Einschätzung zu verstehen und in Phase 0 zu verfeinern. „Stufe“ verweist auf den Autonomiegrad aus Abschnitt 4.3.</w:t>
      </w:r>
    </w:p>
    <w:p>
      <w:pPr>
        <w:pStyle w:val="Heading2"/>
      </w:pPr>
      <w:r>
        <w:t xml:space="preserve">5.1  Vermögensverwaltung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000"/>
        <w:gridCol w:w="1200"/>
        <w:gridCol w:w="1200"/>
      </w:tblGrid>
      <w:tr>
        <w:trPr>
          <w:tblHeader/>
        </w:trPr>
        <w:tc>
          <w:tcPr>
            <w:tcW w:type="dxa" w:w="22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Use-Case</w:t>
            </w:r>
          </w:p>
        </w:tc>
        <w:tc>
          <w:tcPr>
            <w:tcW w:type="dxa" w:w="376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Beschreibung</w:t>
            </w:r>
          </w:p>
        </w:tc>
        <w:tc>
          <w:tcPr>
            <w:tcW w:type="dxa" w:w="10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Stufe</w:t>
            </w:r>
          </w:p>
        </w:tc>
        <w:tc>
          <w:tcPr>
            <w:tcW w:type="dxa" w:w="12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Nutzen</w:t>
            </w:r>
          </w:p>
        </w:tc>
        <w:tc>
          <w:tcPr>
            <w:tcW w:type="dxa" w:w="12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Aufwand</w:t>
            </w:r>
          </w:p>
        </w:tc>
      </w:tr>
      <w:tr>
        <w:tc>
          <w:tcPr>
            <w:tcW w:type="dxa" w:w="2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rPr>
                <w:b/>
                <w:bCs/>
              </w:rPr>
              <w:t xml:space="preserve">Fondsanalyse &amp; -vergleich</w:t>
            </w:r>
          </w:p>
        </w:tc>
        <w:tc>
          <w:tcPr>
            <w:tcW w:type="dxa" w:w="3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Auswertung von Factsheets, Steckbriefe, Vergleichstabellen (Skill vorhanden).</w:t>
            </w:r>
          </w:p>
        </w:tc>
        <w:tc>
          <w:tcPr>
            <w:tcW w:type="dxa" w:w="10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2</w:t>
            </w:r>
          </w:p>
        </w:tc>
        <w:tc>
          <w:tcPr>
            <w:tcW w:type="dxa" w:w="1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Hoch</w:t>
            </w:r>
          </w:p>
        </w:tc>
        <w:tc>
          <w:tcPr>
            <w:tcW w:type="dxa" w:w="1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Gering</w:t>
            </w:r>
          </w:p>
        </w:tc>
      </w:tr>
      <w:tr>
        <w:tc>
          <w:tcPr>
            <w:tcW w:type="dxa" w:w="2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rPr>
                <w:b/>
                <w:bCs/>
              </w:rPr>
              <w:t xml:space="preserve">Marktbeobachtung</w:t>
            </w:r>
          </w:p>
        </w:tc>
        <w:tc>
          <w:tcPr>
            <w:tcW w:type="dxa" w:w="3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Tägliche/wöchentliche Zusammenfassung relevanter Markt- und Nachrichtenlage als Briefing.</w:t>
            </w:r>
          </w:p>
        </w:tc>
        <w:tc>
          <w:tcPr>
            <w:tcW w:type="dxa" w:w="10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3</w:t>
            </w:r>
          </w:p>
        </w:tc>
        <w:tc>
          <w:tcPr>
            <w:tcW w:type="dxa" w:w="1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Hoch</w:t>
            </w:r>
          </w:p>
        </w:tc>
        <w:tc>
          <w:tcPr>
            <w:tcW w:type="dxa" w:w="1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Mittel</w:t>
            </w:r>
          </w:p>
        </w:tc>
      </w:tr>
      <w:tr>
        <w:tc>
          <w:tcPr>
            <w:tcW w:type="dxa" w:w="2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rPr>
                <w:b/>
                <w:bCs/>
              </w:rPr>
              <w:t xml:space="preserve">Research-Assistent</w:t>
            </w:r>
          </w:p>
        </w:tc>
        <w:tc>
          <w:tcPr>
            <w:tcW w:type="dxa" w:w="3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Mehrstufige Recherche zu Titeln, Themen, Anbietern mit Quellen (Deep Research).</w:t>
            </w:r>
          </w:p>
        </w:tc>
        <w:tc>
          <w:tcPr>
            <w:tcW w:type="dxa" w:w="10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1</w:t>
            </w:r>
          </w:p>
        </w:tc>
        <w:tc>
          <w:tcPr>
            <w:tcW w:type="dxa" w:w="1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Hoch</w:t>
            </w:r>
          </w:p>
        </w:tc>
        <w:tc>
          <w:tcPr>
            <w:tcW w:type="dxa" w:w="1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Gering</w:t>
            </w:r>
          </w:p>
        </w:tc>
      </w:tr>
      <w:tr>
        <w:tc>
          <w:tcPr>
            <w:tcW w:type="dxa" w:w="2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rPr>
                <w:b/>
                <w:bCs/>
              </w:rPr>
              <w:t xml:space="preserve">Portfolio-Aufbereitung</w:t>
            </w:r>
          </w:p>
        </w:tc>
        <w:tc>
          <w:tcPr>
            <w:tcW w:type="dxa" w:w="3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Aufbereitung von Performance-/Allokationsdaten zu Auswertungen und Grafiken.</w:t>
            </w:r>
          </w:p>
        </w:tc>
        <w:tc>
          <w:tcPr>
            <w:tcW w:type="dxa" w:w="10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2</w:t>
            </w:r>
          </w:p>
        </w:tc>
        <w:tc>
          <w:tcPr>
            <w:tcW w:type="dxa" w:w="1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Hoch</w:t>
            </w:r>
          </w:p>
        </w:tc>
        <w:tc>
          <w:tcPr>
            <w:tcW w:type="dxa" w:w="1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Mittel</w:t>
            </w:r>
          </w:p>
        </w:tc>
      </w:tr>
      <w:tr>
        <w:tc>
          <w:tcPr>
            <w:tcW w:type="dxa" w:w="2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rPr>
                <w:b/>
                <w:bCs/>
              </w:rPr>
              <w:t xml:space="preserve">Anlageausschuss-Vorbereitung</w:t>
            </w:r>
          </w:p>
        </w:tc>
        <w:tc>
          <w:tcPr>
            <w:tcW w:type="dxa" w:w="3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Zusammenstellung von Unterlagen, Vorlagen und Argumentationsgrundlagen.</w:t>
            </w:r>
          </w:p>
        </w:tc>
        <w:tc>
          <w:tcPr>
            <w:tcW w:type="dxa" w:w="10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2</w:t>
            </w:r>
          </w:p>
        </w:tc>
        <w:tc>
          <w:tcPr>
            <w:tcW w:type="dxa" w:w="1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Mittel</w:t>
            </w:r>
          </w:p>
        </w:tc>
        <w:tc>
          <w:tcPr>
            <w:tcW w:type="dxa" w:w="1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Mittel</w:t>
            </w:r>
          </w:p>
        </w:tc>
      </w:tr>
      <w:tr>
        <w:tc>
          <w:tcPr>
            <w:tcW w:type="dxa" w:w="2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rPr>
                <w:b/>
                <w:bCs/>
              </w:rPr>
              <w:t xml:space="preserve">Reporting-Entwürfe</w:t>
            </w:r>
          </w:p>
        </w:tc>
        <w:tc>
          <w:tcPr>
            <w:tcW w:type="dxa" w:w="3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Standardisierte Quartals-/Monatsreports nach Hausvorlage als Entwurf.</w:t>
            </w:r>
          </w:p>
        </w:tc>
        <w:tc>
          <w:tcPr>
            <w:tcW w:type="dxa" w:w="10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2</w:t>
            </w:r>
          </w:p>
        </w:tc>
        <w:tc>
          <w:tcPr>
            <w:tcW w:type="dxa" w:w="1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Hoch</w:t>
            </w:r>
          </w:p>
        </w:tc>
        <w:tc>
          <w:tcPr>
            <w:tcW w:type="dxa" w:w="1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Mittel</w:t>
            </w:r>
          </w:p>
        </w:tc>
      </w:tr>
    </w:tbl>
    <w:p>
      <w:pPr>
        <w:pStyle w:val="Heading2"/>
      </w:pPr>
      <w:r>
        <w:t xml:space="preserve">5.2  Family-Office-Betrieb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000"/>
        <w:gridCol w:w="1200"/>
        <w:gridCol w:w="1200"/>
      </w:tblGrid>
      <w:tr>
        <w:trPr>
          <w:tblHeader/>
        </w:trPr>
        <w:tc>
          <w:tcPr>
            <w:tcW w:type="dxa" w:w="22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Use-Case</w:t>
            </w:r>
          </w:p>
        </w:tc>
        <w:tc>
          <w:tcPr>
            <w:tcW w:type="dxa" w:w="376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Beschreibung</w:t>
            </w:r>
          </w:p>
        </w:tc>
        <w:tc>
          <w:tcPr>
            <w:tcW w:type="dxa" w:w="10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Stufe</w:t>
            </w:r>
          </w:p>
        </w:tc>
        <w:tc>
          <w:tcPr>
            <w:tcW w:type="dxa" w:w="12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Nutzen</w:t>
            </w:r>
          </w:p>
        </w:tc>
        <w:tc>
          <w:tcPr>
            <w:tcW w:type="dxa" w:w="12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Aufwand</w:t>
            </w:r>
          </w:p>
        </w:tc>
      </w:tr>
      <w:tr>
        <w:tc>
          <w:tcPr>
            <w:tcW w:type="dxa" w:w="2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rPr>
                <w:b/>
                <w:bCs/>
              </w:rPr>
              <w:t xml:space="preserve">Kontoabgleich</w:t>
            </w:r>
          </w:p>
        </w:tc>
        <w:tc>
          <w:tcPr>
            <w:tcW w:type="dxa" w:w="3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Abgleich internes System ↔ Bank, Differenzbericht (Skill vorhanden).</w:t>
            </w:r>
          </w:p>
        </w:tc>
        <w:tc>
          <w:tcPr>
            <w:tcW w:type="dxa" w:w="10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2</w:t>
            </w:r>
          </w:p>
        </w:tc>
        <w:tc>
          <w:tcPr>
            <w:tcW w:type="dxa" w:w="1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Hoch</w:t>
            </w:r>
          </w:p>
        </w:tc>
        <w:tc>
          <w:tcPr>
            <w:tcW w:type="dxa" w:w="1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Gering</w:t>
            </w:r>
          </w:p>
        </w:tc>
      </w:tr>
      <w:tr>
        <w:tc>
          <w:tcPr>
            <w:tcW w:type="dxa" w:w="2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rPr>
                <w:b/>
                <w:bCs/>
              </w:rPr>
              <w:t xml:space="preserve">Dokumenten-Extraktion</w:t>
            </w:r>
          </w:p>
        </w:tc>
        <w:tc>
          <w:tcPr>
            <w:tcW w:type="dxa" w:w="3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Auslesen und Strukturieren von PDFs (Verträge, Abrechnungen, Belege).</w:t>
            </w:r>
          </w:p>
        </w:tc>
        <w:tc>
          <w:tcPr>
            <w:tcW w:type="dxa" w:w="10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2</w:t>
            </w:r>
          </w:p>
        </w:tc>
        <w:tc>
          <w:tcPr>
            <w:tcW w:type="dxa" w:w="1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Hoch</w:t>
            </w:r>
          </w:p>
        </w:tc>
        <w:tc>
          <w:tcPr>
            <w:tcW w:type="dxa" w:w="1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Mittel</w:t>
            </w:r>
          </w:p>
        </w:tc>
      </w:tr>
      <w:tr>
        <w:tc>
          <w:tcPr>
            <w:tcW w:type="dxa" w:w="2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rPr>
                <w:b/>
                <w:bCs/>
              </w:rPr>
              <w:t xml:space="preserve">Vermögensübersicht</w:t>
            </w:r>
          </w:p>
        </w:tc>
        <w:tc>
          <w:tcPr>
            <w:tcW w:type="dxa" w:w="3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Konsolidierte Übersichten und Liquiditätsreporting über Konten/Depots.</w:t>
            </w:r>
          </w:p>
        </w:tc>
        <w:tc>
          <w:tcPr>
            <w:tcW w:type="dxa" w:w="10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2</w:t>
            </w:r>
          </w:p>
        </w:tc>
        <w:tc>
          <w:tcPr>
            <w:tcW w:type="dxa" w:w="1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Hoch</w:t>
            </w:r>
          </w:p>
        </w:tc>
        <w:tc>
          <w:tcPr>
            <w:tcW w:type="dxa" w:w="1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Mittel</w:t>
            </w:r>
          </w:p>
        </w:tc>
      </w:tr>
      <w:tr>
        <w:tc>
          <w:tcPr>
            <w:tcW w:type="dxa" w:w="2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rPr>
                <w:b/>
                <w:bCs/>
              </w:rPr>
              <w:t xml:space="preserve">Fristen &amp; Vorgänge</w:t>
            </w:r>
          </w:p>
        </w:tc>
        <w:tc>
          <w:tcPr>
            <w:tcW w:type="dxa" w:w="3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Überwachung von Fristen, Wiedervorlagen, offenen Vorgängen mit Erinnerung.</w:t>
            </w:r>
          </w:p>
        </w:tc>
        <w:tc>
          <w:tcPr>
            <w:tcW w:type="dxa" w:w="10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3</w:t>
            </w:r>
          </w:p>
        </w:tc>
        <w:tc>
          <w:tcPr>
            <w:tcW w:type="dxa" w:w="1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Mittel</w:t>
            </w:r>
          </w:p>
        </w:tc>
        <w:tc>
          <w:tcPr>
            <w:tcW w:type="dxa" w:w="1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Gering</w:t>
            </w:r>
          </w:p>
        </w:tc>
      </w:tr>
      <w:tr>
        <w:tc>
          <w:tcPr>
            <w:tcW w:type="dxa" w:w="2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rPr>
                <w:b/>
                <w:bCs/>
              </w:rPr>
              <w:t xml:space="preserve">Posteingang-Triage</w:t>
            </w:r>
          </w:p>
        </w:tc>
        <w:tc>
          <w:tcPr>
            <w:tcW w:type="dxa" w:w="3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Sortierung, Zusammenfassung und Entwurfsvorschläge für E-Mails.</w:t>
            </w:r>
          </w:p>
        </w:tc>
        <w:tc>
          <w:tcPr>
            <w:tcW w:type="dxa" w:w="10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2</w:t>
            </w:r>
          </w:p>
        </w:tc>
        <w:tc>
          <w:tcPr>
            <w:tcW w:type="dxa" w:w="1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Mittel</w:t>
            </w:r>
          </w:p>
        </w:tc>
        <w:tc>
          <w:tcPr>
            <w:tcW w:type="dxa" w:w="1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Mittel</w:t>
            </w:r>
          </w:p>
        </w:tc>
      </w:tr>
      <w:tr>
        <w:tc>
          <w:tcPr>
            <w:tcW w:type="dxa" w:w="2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rPr>
                <w:b/>
                <w:bCs/>
              </w:rPr>
              <w:t xml:space="preserve">Hauswissen-Suche</w:t>
            </w:r>
          </w:p>
        </w:tc>
        <w:tc>
          <w:tcPr>
            <w:tcW w:type="dxa" w:w="3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Frage-Antwort über Richtlinien, Vorlagen, Prozessbeschreibungen (RAG).</w:t>
            </w:r>
          </w:p>
        </w:tc>
        <w:tc>
          <w:tcPr>
            <w:tcW w:type="dxa" w:w="10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1</w:t>
            </w:r>
          </w:p>
        </w:tc>
        <w:tc>
          <w:tcPr>
            <w:tcW w:type="dxa" w:w="1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Hoch</w:t>
            </w:r>
          </w:p>
        </w:tc>
        <w:tc>
          <w:tcPr>
            <w:tcW w:type="dxa" w:w="1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Mittel</w:t>
            </w:r>
          </w:p>
        </w:tc>
      </w:tr>
    </w:tbl>
    <w:p>
      <w:pPr>
        <w:pStyle w:val="Heading2"/>
      </w:pPr>
      <w:r>
        <w:t xml:space="preserve">5.3  Kundenkommunikation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000"/>
        <w:gridCol w:w="1200"/>
        <w:gridCol w:w="1200"/>
      </w:tblGrid>
      <w:tr>
        <w:trPr>
          <w:tblHeader/>
        </w:trPr>
        <w:tc>
          <w:tcPr>
            <w:tcW w:type="dxa" w:w="22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Use-Case</w:t>
            </w:r>
          </w:p>
        </w:tc>
        <w:tc>
          <w:tcPr>
            <w:tcW w:type="dxa" w:w="376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Beschreibung</w:t>
            </w:r>
          </w:p>
        </w:tc>
        <w:tc>
          <w:tcPr>
            <w:tcW w:type="dxa" w:w="10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Stufe</w:t>
            </w:r>
          </w:p>
        </w:tc>
        <w:tc>
          <w:tcPr>
            <w:tcW w:type="dxa" w:w="12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Nutzen</w:t>
            </w:r>
          </w:p>
        </w:tc>
        <w:tc>
          <w:tcPr>
            <w:tcW w:type="dxa" w:w="12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Aufwand</w:t>
            </w:r>
          </w:p>
        </w:tc>
      </w:tr>
      <w:tr>
        <w:tc>
          <w:tcPr>
            <w:tcW w:type="dxa" w:w="2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rPr>
                <w:b/>
                <w:bCs/>
              </w:rPr>
              <w:t xml:space="preserve">Anschreiben-Entwürfe</w:t>
            </w:r>
          </w:p>
        </w:tc>
        <w:tc>
          <w:tcPr>
            <w:tcW w:type="dxa" w:w="3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Individuelle Kundenanschreiben nach Hausstil als Entwurf zur Freigabe.</w:t>
            </w:r>
          </w:p>
        </w:tc>
        <w:tc>
          <w:tcPr>
            <w:tcW w:type="dxa" w:w="10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2</w:t>
            </w:r>
          </w:p>
        </w:tc>
        <w:tc>
          <w:tcPr>
            <w:tcW w:type="dxa" w:w="1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Hoch</w:t>
            </w:r>
          </w:p>
        </w:tc>
        <w:tc>
          <w:tcPr>
            <w:tcW w:type="dxa" w:w="1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Gering</w:t>
            </w:r>
          </w:p>
        </w:tc>
      </w:tr>
      <w:tr>
        <w:tc>
          <w:tcPr>
            <w:tcW w:type="dxa" w:w="2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rPr>
                <w:b/>
                <w:bCs/>
              </w:rPr>
              <w:t xml:space="preserve">Reporting-Begleittexte</w:t>
            </w:r>
          </w:p>
        </w:tc>
        <w:tc>
          <w:tcPr>
            <w:tcW w:type="dxa" w:w="3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Verständliche Erläuterungen zu Reports und Marktentwicklung.</w:t>
            </w:r>
          </w:p>
        </w:tc>
        <w:tc>
          <w:tcPr>
            <w:tcW w:type="dxa" w:w="10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2</w:t>
            </w:r>
          </w:p>
        </w:tc>
        <w:tc>
          <w:tcPr>
            <w:tcW w:type="dxa" w:w="1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Hoch</w:t>
            </w:r>
          </w:p>
        </w:tc>
        <w:tc>
          <w:tcPr>
            <w:tcW w:type="dxa" w:w="1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Gering</w:t>
            </w:r>
          </w:p>
        </w:tc>
      </w:tr>
      <w:tr>
        <w:tc>
          <w:tcPr>
            <w:tcW w:type="dxa" w:w="2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rPr>
                <w:b/>
                <w:bCs/>
              </w:rPr>
              <w:t xml:space="preserve">Termin-Vorbereitung</w:t>
            </w:r>
          </w:p>
        </w:tc>
        <w:tc>
          <w:tcPr>
            <w:tcW w:type="dxa" w:w="3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Briefing-Mappe je Kunde: Historie, offene Punkte, Gesprächsleitfaden.</w:t>
            </w:r>
          </w:p>
        </w:tc>
        <w:tc>
          <w:tcPr>
            <w:tcW w:type="dxa" w:w="10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1</w:t>
            </w:r>
          </w:p>
        </w:tc>
        <w:tc>
          <w:tcPr>
            <w:tcW w:type="dxa" w:w="1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Hoch</w:t>
            </w:r>
          </w:p>
        </w:tc>
        <w:tc>
          <w:tcPr>
            <w:tcW w:type="dxa" w:w="1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Mittel</w:t>
            </w:r>
          </w:p>
        </w:tc>
      </w:tr>
      <w:tr>
        <w:tc>
          <w:tcPr>
            <w:tcW w:type="dxa" w:w="2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rPr>
                <w:b/>
                <w:bCs/>
              </w:rPr>
              <w:t xml:space="preserve">Standardanfragen</w:t>
            </w:r>
          </w:p>
        </w:tc>
        <w:tc>
          <w:tcPr>
            <w:tcW w:type="dxa" w:w="3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Strukturierte Entwürfe für wiederkehrende Kundenfragen.</w:t>
            </w:r>
          </w:p>
        </w:tc>
        <w:tc>
          <w:tcPr>
            <w:tcW w:type="dxa" w:w="10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2</w:t>
            </w:r>
          </w:p>
        </w:tc>
        <w:tc>
          <w:tcPr>
            <w:tcW w:type="dxa" w:w="1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Mittel</w:t>
            </w:r>
          </w:p>
        </w:tc>
        <w:tc>
          <w:tcPr>
            <w:tcW w:type="dxa" w:w="12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Mittel</w:t>
            </w:r>
          </w:p>
        </w:tc>
      </w:tr>
      <w:tr>
        <w:tc>
          <w:tcPr>
            <w:tcW w:type="dxa" w:w="2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rPr>
                <w:b/>
                <w:bCs/>
              </w:rPr>
              <w:t xml:space="preserve">Onboarding-Unterstützung</w:t>
            </w:r>
          </w:p>
        </w:tc>
        <w:tc>
          <w:tcPr>
            <w:tcW w:type="dxa" w:w="3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Checklisten, Unterlagenzusammenstellung und Entwürfe für Neukunden.</w:t>
            </w:r>
          </w:p>
        </w:tc>
        <w:tc>
          <w:tcPr>
            <w:tcW w:type="dxa" w:w="10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2</w:t>
            </w:r>
          </w:p>
        </w:tc>
        <w:tc>
          <w:tcPr>
            <w:tcW w:type="dxa" w:w="1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Mittel</w:t>
            </w:r>
          </w:p>
        </w:tc>
        <w:tc>
          <w:tcPr>
            <w:tcW w:type="dxa" w:w="12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Mittel</w:t>
            </w:r>
          </w:p>
        </w:tc>
      </w:tr>
    </w:tbl>
    <w:p>
      <w:pPr>
        <w:spacing w:after="60"/>
      </w:pPr>
    </w:p>
    <w:p>
      <w:pPr>
        <w:spacing w:after="120" w:line="276"/>
      </w:pPr>
      <w:r>
        <w:rPr>
          <w:b/>
          <w:bCs/>
        </w:rPr>
        <w:t xml:space="preserve">Empfehlung für den Pilot: </w:t>
      </w:r>
      <w:r>
        <w:t xml:space="preserve">Fondsanalyse, Kontoabgleich, Research-Assistent und Hauswissen-Suche bieten das beste Verhältnis aus Nutzen und Risiko – zwei davon bestehen bereits als Skill und lassen sich unmittelbar produktiv erproben.</w:t>
      </w:r>
    </w:p>
    <w:p>
      <w:r>
        <w:br w:type="page"/>
      </w:r>
    </w:p>
    <w:p>
      <w:pPr>
        <w:pStyle w:val="Heading1"/>
      </w:pPr>
      <w:r>
        <w:t xml:space="preserve">6  Ziel- und Agentenarchitektur</w:t>
      </w:r>
    </w:p>
    <w:p>
      <w:pPr>
        <w:pStyle w:val="Heading2"/>
      </w:pPr>
      <w:r>
        <w:t xml:space="preserve">6.1  Bausteine</w:t>
      </w:r>
    </w:p>
    <w:p>
      <w:pPr>
        <w:spacing w:after="120" w:line="276"/>
      </w:pPr>
      <w:r>
        <w:t xml:space="preserve">Die Zielarchitektur nutzt die vorhandenen Erweiterungspunkte und ergänzt sie um die für M&amp;S nötigen Anbindungen und Leitplanken:</w:t>
      </w:r>
    </w:p>
    <w:p>
      <w:pPr>
        <w:pStyle w:val="ListParagraph"/>
        <w:numPr>
          <w:ilvl w:val="0"/>
          <w:numId w:val="2"/>
        </w:numPr>
        <w:spacing w:after="60" w:line="264"/>
      </w:pPr>
      <w:r>
        <w:rPr>
          <w:b/>
          <w:bCs/>
        </w:rPr>
        <w:t xml:space="preserve">Modellschicht: </w:t>
      </w:r>
      <w:r>
        <w:t xml:space="preserve">Lokale Modelle als Standard für sensible Daten; optional leistungsstarke externe Modelle für unkritische Aufgaben (z. B. allgemeine Recherche) – nur mit geprüftem Datenschutz.</w:t>
      </w:r>
    </w:p>
    <w:p>
      <w:pPr>
        <w:pStyle w:val="ListParagraph"/>
        <w:numPr>
          <w:ilvl w:val="0"/>
          <w:numId w:val="2"/>
        </w:numPr>
        <w:spacing w:after="60" w:line="264"/>
      </w:pPr>
      <w:r>
        <w:rPr>
          <w:b/>
          <w:bCs/>
        </w:rPr>
        <w:t xml:space="preserve">Agenten-/Skill-Schicht: </w:t>
      </w:r>
      <w:r>
        <w:t xml:space="preserve">Je Use-Case ein Skill mit Fachanleitung, Vorlagen und – wo nötig – Skripten. Wiederverwendbare Bausteine statt Einzellösungen.</w:t>
      </w:r>
    </w:p>
    <w:p>
      <w:pPr>
        <w:pStyle w:val="ListParagraph"/>
        <w:numPr>
          <w:ilvl w:val="0"/>
          <w:numId w:val="2"/>
        </w:numPr>
        <w:spacing w:after="60" w:line="264"/>
      </w:pPr>
      <w:r>
        <w:rPr>
          <w:b/>
          <w:bCs/>
        </w:rPr>
        <w:t xml:space="preserve">Werkzeug-/MCP-Schicht: </w:t>
      </w:r>
      <w:r>
        <w:t xml:space="preserve">Anbindung interner Quellen (Family-Office-Software, Depot-/Bankdaten, Dokumentenablage) als kontrollierte Werkzeuge mit Lese-/Schreibtrennung.</w:t>
      </w:r>
    </w:p>
    <w:p>
      <w:pPr>
        <w:pStyle w:val="ListParagraph"/>
        <w:numPr>
          <w:ilvl w:val="0"/>
          <w:numId w:val="2"/>
        </w:numPr>
        <w:spacing w:after="60" w:line="264"/>
      </w:pPr>
      <w:r>
        <w:rPr>
          <w:b/>
          <w:bCs/>
        </w:rPr>
        <w:t xml:space="preserve">Wissensschicht (RAG): </w:t>
      </w:r>
      <w:r>
        <w:t xml:space="preserve">Kuratiertes Hauswissen – Richtlinien, Vorlagen, Prozessbeschreibungen, historische Auswertungen – als durchsuchbare, rechtegesteuerte Basis.</w:t>
      </w:r>
    </w:p>
    <w:p>
      <w:pPr>
        <w:pStyle w:val="ListParagraph"/>
        <w:numPr>
          <w:ilvl w:val="0"/>
          <w:numId w:val="2"/>
        </w:numPr>
        <w:spacing w:after="60" w:line="264"/>
      </w:pPr>
      <w:r>
        <w:rPr>
          <w:b/>
          <w:bCs/>
        </w:rPr>
        <w:t xml:space="preserve">Automatisierungsschicht: </w:t>
      </w:r>
      <w:r>
        <w:t xml:space="preserve">Geplante Aufgaben für wiederkehrende Vorgänge (Briefings, Abgleiche, Erinnerungen) mit Eskalation an Menschen.</w:t>
      </w:r>
    </w:p>
    <w:p>
      <w:pPr>
        <w:pStyle w:val="ListParagraph"/>
        <w:numPr>
          <w:ilvl w:val="0"/>
          <w:numId w:val="2"/>
        </w:numPr>
        <w:spacing w:after="60" w:line="264"/>
      </w:pPr>
      <w:r>
        <w:rPr>
          <w:b/>
          <w:bCs/>
        </w:rPr>
        <w:t xml:space="preserve">Governance-Schicht: </w:t>
      </w:r>
      <w:r>
        <w:t xml:space="preserve">Rollen/Rechte, Freigabe-Workflows, Protokollierung, Modell- und Werkzeug-Freigaben, Prompt-Injection-Schutz.</w:t>
      </w:r>
    </w:p>
    <w:p>
      <w:pPr>
        <w:pStyle w:val="Heading2"/>
      </w:pPr>
      <w:r>
        <w:t xml:space="preserve">6.2  Daten- und Berechtigungsfluss (Prinzip)</w:t>
      </w:r>
    </w:p>
    <w:p>
      <w:pPr>
        <w:spacing w:after="120" w:line="276"/>
      </w:pPr>
      <w:r>
        <w:t xml:space="preserve">Mitarbeiter authentifizieren sich (inkl. 2FA) und erhalten rollenbasierte Rechte. Ein Agent wird mit minimalem Werkzeugkasten gestartet; Zugriffe auf interne Systeme laufen ausschließlich über definierte MCP-Werkzeuge mit klar getrennten Lese- und Schreibrechten. Sensible Verarbeitung erfolgt auf lokalen Modellen. Jeder Lauf – Eingaben, genutzte Werkzeuge, Ergebnisse – wird protokolliert. Außenwirksame oder anlagerelevante Ergebnisse durchlaufen eine menschliche Freigabe, bevor sie verwendet werden.</w:t>
      </w:r>
    </w:p>
    <w:p>
      <w:pPr>
        <w:pStyle w:val="Heading2"/>
      </w:pPr>
      <w:r>
        <w:t xml:space="preserve">6.3  Berechtigungsmodell (Vorschlag)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Rolle</w:t>
            </w:r>
          </w:p>
        </w:tc>
        <w:tc>
          <w:tcPr>
            <w:tcW w:type="dxa" w:w="348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Typische Tätigkeit</w:t>
            </w:r>
          </w:p>
        </w:tc>
        <w:tc>
          <w:tcPr>
            <w:tcW w:type="dxa" w:w="348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Rechte (Prinzip geringster Rechte)</w:t>
            </w:r>
          </w:p>
        </w:tc>
      </w:tr>
      <w:tr>
        <w:tc>
          <w:tcPr>
            <w:tcW w:type="dxa" w:w="24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Administrator</w:t>
            </w:r>
          </w:p>
        </w:tc>
        <w:tc>
          <w:tcPr>
            <w:tcW w:type="dxa" w:w="34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Betrieb, Konfiguration, Modelle, MCP-Server.</w:t>
            </w:r>
          </w:p>
        </w:tc>
        <w:tc>
          <w:tcPr>
            <w:tcW w:type="dxa" w:w="34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Voll, inkl. Shell/Systemwerkzeuge; getrennt vom Fachbetrieb.</w:t>
            </w:r>
          </w:p>
        </w:tc>
      </w:tr>
      <w:tr>
        <w:tc>
          <w:tcPr>
            <w:tcW w:type="dxa" w:w="24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Vermögensverwalter</w:t>
            </w:r>
          </w:p>
        </w:tc>
        <w:tc>
          <w:tcPr>
            <w:tcW w:type="dxa" w:w="34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Research, Analyse, Reporting.</w:t>
            </w:r>
          </w:p>
        </w:tc>
        <w:tc>
          <w:tcPr>
            <w:tcW w:type="dxa" w:w="34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Agent, Dokumente, Research, Wissensbasis; keine Shell.</w:t>
            </w:r>
          </w:p>
        </w:tc>
      </w:tr>
      <w:tr>
        <w:tc>
          <w:tcPr>
            <w:tcW w:type="dxa" w:w="24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Family-Office-Mitarbeiter</w:t>
            </w:r>
          </w:p>
        </w:tc>
        <w:tc>
          <w:tcPr>
            <w:tcW w:type="dxa" w:w="34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Reconciliation, Dokumente, Reporting.</w:t>
            </w:r>
          </w:p>
        </w:tc>
        <w:tc>
          <w:tcPr>
            <w:tcW w:type="dxa" w:w="34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Agent, Dokumente, definierte MCP-Werkzeuge; keine Shell.</w:t>
            </w:r>
          </w:p>
        </w:tc>
      </w:tr>
      <w:tr>
        <w:tc>
          <w:tcPr>
            <w:tcW w:type="dxa" w:w="24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Kundenbetreuung</w:t>
            </w:r>
          </w:p>
        </w:tc>
        <w:tc>
          <w:tcPr>
            <w:tcW w:type="dxa" w:w="34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Schriftverkehr, Termin-Vorbereitung.</w:t>
            </w:r>
          </w:p>
        </w:tc>
        <w:tc>
          <w:tcPr>
            <w:tcW w:type="dxa" w:w="34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Agent, Dokumente, E-Mail-Entwurf; nur Lese-Zugriff auf Daten.</w:t>
            </w:r>
          </w:p>
        </w:tc>
      </w:tr>
      <w:tr>
        <w:tc>
          <w:tcPr>
            <w:tcW w:type="dxa" w:w="24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Compliance/Revision</w:t>
            </w:r>
          </w:p>
        </w:tc>
        <w:tc>
          <w:tcPr>
            <w:tcW w:type="dxa" w:w="34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Kontrolle, Nachvollzug.</w:t>
            </w:r>
          </w:p>
        </w:tc>
        <w:tc>
          <w:tcPr>
            <w:tcW w:type="dxa" w:w="34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Lese-/Audit-Zugriff auf Protokolle und Konfiguration.</w:t>
            </w:r>
          </w:p>
        </w:tc>
      </w:tr>
    </w:tbl>
    <w:p>
      <w:r>
        <w:br w:type="page"/>
      </w:r>
    </w:p>
    <w:p>
      <w:pPr>
        <w:pStyle w:val="Heading1"/>
      </w:pPr>
      <w:r>
        <w:t xml:space="preserve">7  Governance, Compliance und Datenschutz</w:t>
      </w:r>
    </w:p>
    <w:p>
      <w:pPr>
        <w:spacing w:after="120" w:line="276"/>
      </w:pPr>
      <w:r>
        <w:t xml:space="preserve">Als lizenzierte Vermögensverwaltung unterliegt Meeder &amp; Seifer der Aufsicht durch die BaFin. Der KI-Einsatz ist so zu gestalten, dass er die einschlägigen Anforderungen erfüllt und im Prüfungsfall nachvollziehbar dokumentiert ist. Die folgenden Punkte sind als Rahmen zu verstehen; die konkrete Ausgestaltung erfolgt mit der Compliance-Funktion und ggf. externer Beratung.</w:t>
      </w:r>
    </w:p>
    <w:p>
      <w:pPr>
        <w:pStyle w:val="Heading2"/>
      </w:pPr>
      <w:r>
        <w:t xml:space="preserve">7.1  Regulatorischer Rahmen (Überblick)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Bereich</w:t>
            </w:r>
          </w:p>
        </w:tc>
        <w:tc>
          <w:tcPr>
            <w:tcW w:type="dxa" w:w="676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Relevanz für den KI-Einsatz</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MaRisk / Auslagerung</w:t>
            </w:r>
          </w:p>
        </w:tc>
        <w:tc>
          <w:tcPr>
            <w:tcW w:type="dxa" w:w="6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KI-Werkzeuge und etwaige externe Modelldienste sind hinsichtlich Auslagerung, Risikomanagement und Notfallkonzept zu bewerten. On-Prem-Betrieb reduziert Auslagerungsfragen erheblich.</w:t>
            </w:r>
          </w:p>
        </w:tc>
      </w:tr>
      <w:tr>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WpHG / MiFID II</w:t>
            </w:r>
          </w:p>
        </w:tc>
        <w:tc>
          <w:tcPr>
            <w:tcW w:type="dxa" w:w="6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Anforderungen an Geeignetheit, Dokumentation und Wohlverhalten bleiben unberührt; Agenten unterstützen, ersetzen aber keine regulatorisch geforderten Prüfungen und Entscheidungen.</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DSGVO / BDSG</w:t>
            </w:r>
          </w:p>
        </w:tc>
        <w:tc>
          <w:tcPr>
            <w:tcW w:type="dxa" w:w="6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Verarbeitung personenbezogener Daten erfordert Rechtsgrundlage, Datenminimierung, Löschkonzepte und ggf. Datenschutz-Folgenabschätzung. Lokale Verarbeitung erleichtert die Erfüllung.</w:t>
            </w:r>
          </w:p>
        </w:tc>
      </w:tr>
      <w:tr>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EU-KI-Verordnung (AI Act)</w:t>
            </w:r>
          </w:p>
        </w:tc>
        <w:tc>
          <w:tcPr>
            <w:tcW w:type="dxa" w:w="6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Einstufung der Anwendungsfälle nach Risiko; Transparenz-, Dokumentations- und Aufsichtspflichten. Die meisten hier vorgesehenen Use-Cases sind unterstützend und gering riskant.</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DORA</w:t>
            </w:r>
          </w:p>
        </w:tc>
        <w:tc>
          <w:tcPr>
            <w:tcW w:type="dxa" w:w="6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Anforderungen an digitale operationale Resilienz (IT-Risiko, Vorfälle, Tests) sind im Betriebskonzept zu berücksichtigen.</w:t>
            </w:r>
          </w:p>
        </w:tc>
      </w:tr>
      <w:tr>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Geldwäsche (GwG)</w:t>
            </w:r>
          </w:p>
        </w:tc>
        <w:tc>
          <w:tcPr>
            <w:tcW w:type="dxa" w:w="6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KYC-/Geldwäscheprüfungen bleiben menschlich verantwortet; Agenten dürfen nur vorbereitend zuarbeiten.</w:t>
            </w:r>
          </w:p>
        </w:tc>
      </w:tr>
    </w:tbl>
    <w:p>
      <w:pPr>
        <w:pStyle w:val="Heading2"/>
      </w:pPr>
      <w:r>
        <w:t xml:space="preserve">7.2  Datenschutz-Leitplanken</w:t>
      </w:r>
    </w:p>
    <w:p>
      <w:pPr>
        <w:pStyle w:val="ListParagraph"/>
        <w:numPr>
          <w:ilvl w:val="0"/>
          <w:numId w:val="2"/>
        </w:numPr>
        <w:spacing w:after="60" w:line="264"/>
      </w:pPr>
      <w:r>
        <w:t xml:space="preserve">Lokale Verarbeitung sensibler und personenbezogener Daten als Standard; kein Abfluss an externe Modelle ohne geprüfte Rechtsgrundlage und Auftragsverarbeitung.</w:t>
      </w:r>
    </w:p>
    <w:p>
      <w:pPr>
        <w:pStyle w:val="ListParagraph"/>
        <w:numPr>
          <w:ilvl w:val="0"/>
          <w:numId w:val="2"/>
        </w:numPr>
        <w:spacing w:after="60" w:line="264"/>
      </w:pPr>
      <w:r>
        <w:t xml:space="preserve">Datenminimierung: Agenten erhalten nur die für die Aufgabe nötigen Daten; Pseudonymisierung wo möglich.</w:t>
      </w:r>
    </w:p>
    <w:p>
      <w:pPr>
        <w:pStyle w:val="ListParagraph"/>
        <w:numPr>
          <w:ilvl w:val="0"/>
          <w:numId w:val="2"/>
        </w:numPr>
        <w:spacing w:after="60" w:line="264"/>
      </w:pPr>
      <w:r>
        <w:t xml:space="preserve">Rollen- und rechtegesteuerter Zugriff auf Wissensbasis und Werkzeuge; Trennung von Lese- und Schreibrechten.</w:t>
      </w:r>
    </w:p>
    <w:p>
      <w:pPr>
        <w:pStyle w:val="ListParagraph"/>
        <w:numPr>
          <w:ilvl w:val="0"/>
          <w:numId w:val="2"/>
        </w:numPr>
        <w:spacing w:after="60" w:line="264"/>
      </w:pPr>
      <w:r>
        <w:t xml:space="preserve">Lösch- und Aufbewahrungskonzept für Protokolle, Uploads und Zwischenergebnisse.</w:t>
      </w:r>
    </w:p>
    <w:p>
      <w:pPr>
        <w:pStyle w:val="ListParagraph"/>
        <w:numPr>
          <w:ilvl w:val="0"/>
          <w:numId w:val="2"/>
        </w:numPr>
        <w:spacing w:after="60" w:line="264"/>
      </w:pPr>
      <w:r>
        <w:t xml:space="preserve">Behandlung von Eingaben, Dokumenten und abgerufenen Inhalten als potenziell nicht vertrauenswürdig (Schutz vor Prompt-Injection).</w:t>
      </w:r>
    </w:p>
    <w:p>
      <w:pPr>
        <w:pStyle w:val="Heading2"/>
      </w:pPr>
      <w:r>
        <w:t xml:space="preserve">7.3  Nachvollziehbarkeit und Kontrolle</w:t>
      </w:r>
    </w:p>
    <w:p>
      <w:pPr>
        <w:pStyle w:val="ListParagraph"/>
        <w:numPr>
          <w:ilvl w:val="0"/>
          <w:numId w:val="2"/>
        </w:numPr>
        <w:spacing w:after="60" w:line="264"/>
      </w:pPr>
      <w:r>
        <w:t xml:space="preserve">Vollständige Protokollierung der Agentenläufe (Eingaben, Werkzeuge, Ergebnisse, Freigaben).</w:t>
      </w:r>
    </w:p>
    <w:p>
      <w:pPr>
        <w:pStyle w:val="ListParagraph"/>
        <w:numPr>
          <w:ilvl w:val="0"/>
          <w:numId w:val="2"/>
        </w:numPr>
        <w:spacing w:after="60" w:line="264"/>
      </w:pPr>
      <w:r>
        <w:t xml:space="preserve">Freigabe-Workflows für außenwirksame und anlagerelevante Ergebnisse (Vier-Augen-Prinzip wo angemessen).</w:t>
      </w:r>
    </w:p>
    <w:p>
      <w:pPr>
        <w:pStyle w:val="ListParagraph"/>
        <w:numPr>
          <w:ilvl w:val="0"/>
          <w:numId w:val="2"/>
        </w:numPr>
        <w:spacing w:after="60" w:line="264"/>
      </w:pPr>
      <w:r>
        <w:t xml:space="preserve">Versionierung von Skills, Vorlagen und Konfiguration; kontrollierter Änderungsprozess.</w:t>
      </w:r>
    </w:p>
    <w:p>
      <w:pPr>
        <w:pStyle w:val="ListParagraph"/>
        <w:numPr>
          <w:ilvl w:val="0"/>
          <w:numId w:val="2"/>
        </w:numPr>
        <w:spacing w:after="60" w:line="264"/>
      </w:pPr>
      <w:r>
        <w:t xml:space="preserve">Regelmäßige Stichproben-/Qualitätskontrolle der Agentenergebnisse durch Fachverantwortliche.</w:t>
      </w:r>
    </w:p>
    <w:p>
      <w:pPr>
        <w:spacing w:after="120" w:line="276"/>
      </w:pPr>
      <w:r>
        <w:rPr>
          <w:b/>
          <w:bCs/>
        </w:rPr>
        <w:t xml:space="preserve">Hinweis: </w:t>
      </w:r>
      <w:r>
        <w:rPr>
          <w:i/>
          <w:iCs/>
          <w:color w:val="666666"/>
        </w:rPr>
        <w:t xml:space="preserve">Dieses Kapitel ersetzt keine Rechts- oder Aufsichtsberatung. Vor produktivem Einsatz mit Kundendaten ist die Ausgestaltung mit Compliance, Datenschutz und ggf. externer Beratung abzustimmen.</w:t>
      </w:r>
    </w:p>
    <w:p>
      <w:r>
        <w:br w:type="page"/>
      </w:r>
    </w:p>
    <w:p>
      <w:pPr>
        <w:pStyle w:val="Heading1"/>
      </w:pPr>
      <w:r>
        <w:t xml:space="preserve">8  Projektplan und Roadmap</w:t>
      </w:r>
    </w:p>
    <w:p>
      <w:pPr>
        <w:spacing w:after="120" w:line="276"/>
      </w:pPr>
      <w:r>
        <w:t xml:space="preserve">Der Plan folgt einem schrittweisen, risikoarmen Vorgehen. Die Zeitangaben sind Richtwerte und an verfügbare Ressourcen anzupassen. Phasen können sich überlappen.</w:t>
      </w:r>
    </w:p>
    <w:p>
      <w:pPr>
        <w:pStyle w:val="Heading2"/>
      </w:pPr>
      <w:r>
        <w:t xml:space="preserve">8.1  Phasenübersicht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500"/>
        <w:gridCol w:w="5260"/>
      </w:tblGrid>
      <w:tr>
        <w:trPr>
          <w:tblHeader/>
        </w:trPr>
        <w:tc>
          <w:tcPr>
            <w:tcW w:type="dxa" w:w="6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Ph.</w:t>
            </w:r>
          </w:p>
        </w:tc>
        <w:tc>
          <w:tcPr>
            <w:tcW w:type="dxa" w:w="20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Titel</w:t>
            </w:r>
          </w:p>
        </w:tc>
        <w:tc>
          <w:tcPr>
            <w:tcW w:type="dxa" w:w="15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Dauer (Richtwert)</w:t>
            </w:r>
          </w:p>
        </w:tc>
        <w:tc>
          <w:tcPr>
            <w:tcW w:type="dxa" w:w="526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Wesentliche Ergebnisse</w:t>
            </w:r>
          </w:p>
        </w:tc>
      </w:tr>
      <w:tr>
        <w:tc>
          <w:tcPr>
            <w:tcW w:type="dxa" w:w="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0</w:t>
            </w:r>
          </w:p>
        </w:tc>
        <w:tc>
          <w:tcPr>
            <w:tcW w:type="dxa" w:w="20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Fundament &amp; Governance</w:t>
            </w:r>
          </w:p>
        </w:tc>
        <w:tc>
          <w:tcPr>
            <w:tcW w:type="dxa" w:w="15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ca. 4–6 Wochen</w:t>
            </w:r>
          </w:p>
        </w:tc>
        <w:tc>
          <w:tcPr>
            <w:tcW w:type="dxa" w:w="52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Sicherer On-Prem-Betrieb, Rollen-/Rechtekonzept, Datenschutz-/Compliance-Leitplanken, Pilotteam, Erfolgskriterien.</w:t>
            </w:r>
          </w:p>
        </w:tc>
      </w:tr>
      <w:tr>
        <w:tc>
          <w:tcPr>
            <w:tcW w:type="dxa" w:w="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1</w:t>
            </w:r>
          </w:p>
        </w:tc>
        <w:tc>
          <w:tcPr>
            <w:tcW w:type="dxa" w:w="20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Quick Wins</w:t>
            </w:r>
          </w:p>
        </w:tc>
        <w:tc>
          <w:tcPr>
            <w:tcW w:type="dxa" w:w="15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ca. 4–6 Wochen</w:t>
            </w:r>
          </w:p>
        </w:tc>
        <w:tc>
          <w:tcPr>
            <w:tcW w:type="dxa" w:w="52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3–4 Agenten produktiv erprobt (Fondsanalyse, Kontoabgleich, Research, Hauswissen); erste Vorlagen und Hausstandards.</w:t>
            </w:r>
          </w:p>
        </w:tc>
      </w:tr>
      <w:tr>
        <w:tc>
          <w:tcPr>
            <w:tcW w:type="dxa" w:w="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2</w:t>
            </w:r>
          </w:p>
        </w:tc>
        <w:tc>
          <w:tcPr>
            <w:tcW w:type="dxa" w:w="20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Vermögensverwaltung</w:t>
            </w:r>
          </w:p>
        </w:tc>
        <w:tc>
          <w:tcPr>
            <w:tcW w:type="dxa" w:w="15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ca. 6–10 Wochen</w:t>
            </w:r>
          </w:p>
        </w:tc>
        <w:tc>
          <w:tcPr>
            <w:tcW w:type="dxa" w:w="52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Research-/Reporting-/Anlageausschuss-Unterstützung; Anbindung relevanter interner Daten.</w:t>
            </w:r>
          </w:p>
        </w:tc>
      </w:tr>
      <w:tr>
        <w:tc>
          <w:tcPr>
            <w:tcW w:type="dxa" w:w="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3</w:t>
            </w:r>
          </w:p>
        </w:tc>
        <w:tc>
          <w:tcPr>
            <w:tcW w:type="dxa" w:w="20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Family-Office-Betrieb</w:t>
            </w:r>
          </w:p>
        </w:tc>
        <w:tc>
          <w:tcPr>
            <w:tcW w:type="dxa" w:w="15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ca. 6–10 Wochen</w:t>
            </w:r>
          </w:p>
        </w:tc>
        <w:tc>
          <w:tcPr>
            <w:tcW w:type="dxa" w:w="52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Dokumenten-, Reconciliation- und Reporting-Agenten im Tagesbetrieb; Automatisierungen mit Eskalation.</w:t>
            </w:r>
          </w:p>
        </w:tc>
      </w:tr>
      <w:tr>
        <w:tc>
          <w:tcPr>
            <w:tcW w:type="dxa" w:w="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4</w:t>
            </w:r>
          </w:p>
        </w:tc>
        <w:tc>
          <w:tcPr>
            <w:tcW w:type="dxa" w:w="20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Kundenkommunikation &amp; Skalierung</w:t>
            </w:r>
          </w:p>
        </w:tc>
        <w:tc>
          <w:tcPr>
            <w:tcW w:type="dxa" w:w="15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ca. 6–8 Wochen</w:t>
            </w:r>
          </w:p>
        </w:tc>
        <w:tc>
          <w:tcPr>
            <w:tcW w:type="dxa" w:w="52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Entwurfs-/Aufbereitungs-Agenten für Kundenkontakt; Rollout auf alle Mitarbeiter; Betriebsmodell verstetigt.</w:t>
            </w:r>
          </w:p>
        </w:tc>
      </w:tr>
    </w:tbl>
    <w:p>
      <w:pPr>
        <w:pStyle w:val="Heading2"/>
      </w:pPr>
      <w:r>
        <w:t xml:space="preserve">8.2  Arbeitspakete je Phase</w:t>
      </w:r>
    </w:p>
    <w:p>
      <w:pPr>
        <w:pStyle w:val="Heading3"/>
      </w:pPr>
      <w:r>
        <w:t xml:space="preserve">Phase 0 – Fundament &amp; Governance</w:t>
      </w:r>
    </w:p>
    <w:p>
      <w:pPr>
        <w:pStyle w:val="ListParagraph"/>
        <w:numPr>
          <w:ilvl w:val="0"/>
          <w:numId w:val="2"/>
        </w:numPr>
        <w:spacing w:after="60" w:line="264"/>
      </w:pPr>
      <w:r>
        <w:t xml:space="preserve">Betriebs-Setup härten: dedizierte On-Prem-Umgebung, Backups, Zugriffsschutz, 2FA, Update-Prozess.</w:t>
      </w:r>
    </w:p>
    <w:p>
      <w:pPr>
        <w:pStyle w:val="ListParagraph"/>
        <w:numPr>
          <w:ilvl w:val="0"/>
          <w:numId w:val="2"/>
        </w:numPr>
        <w:spacing w:after="60" w:line="264"/>
      </w:pPr>
      <w:r>
        <w:t xml:space="preserve">Rollen-/Rechtekonzept auf Aufbauorganisation abbilden; Test- und Produktivumgebung trennen.</w:t>
      </w:r>
    </w:p>
    <w:p>
      <w:pPr>
        <w:pStyle w:val="ListParagraph"/>
        <w:numPr>
          <w:ilvl w:val="0"/>
          <w:numId w:val="2"/>
        </w:numPr>
        <w:spacing w:after="60" w:line="264"/>
      </w:pPr>
      <w:r>
        <w:t xml:space="preserve">Datenschutz-/Compliance-Leitplanken festlegen (Datenklassen, lokale vs. externe Modelle, Protokollierung, Aufbewahrung).</w:t>
      </w:r>
    </w:p>
    <w:p>
      <w:pPr>
        <w:pStyle w:val="ListParagraph"/>
        <w:numPr>
          <w:ilvl w:val="0"/>
          <w:numId w:val="2"/>
        </w:numPr>
        <w:spacing w:after="60" w:line="264"/>
      </w:pPr>
      <w:r>
        <w:t xml:space="preserve">Modellstrategie festlegen: lokale Modelle prüfen/auswählen, Hardware dimensionieren.</w:t>
      </w:r>
    </w:p>
    <w:p>
      <w:pPr>
        <w:pStyle w:val="ListParagraph"/>
        <w:numPr>
          <w:ilvl w:val="0"/>
          <w:numId w:val="2"/>
        </w:numPr>
        <w:spacing w:after="60" w:line="264"/>
      </w:pPr>
      <w:r>
        <w:t xml:space="preserve">Pilotteam benennen (Fach + IT + Compliance); Erfolgskriterien und Messgrößen definieren.</w:t>
      </w:r>
    </w:p>
    <w:p>
      <w:pPr>
        <w:pStyle w:val="Heading3"/>
      </w:pPr>
      <w:r>
        <w:t xml:space="preserve">Phase 1 – Quick Wins</w:t>
      </w:r>
    </w:p>
    <w:p>
      <w:pPr>
        <w:pStyle w:val="ListParagraph"/>
        <w:numPr>
          <w:ilvl w:val="0"/>
          <w:numId w:val="2"/>
        </w:numPr>
        <w:spacing w:after="60" w:line="264"/>
      </w:pPr>
      <w:r>
        <w:t xml:space="preserve">Vorhandene Skills „Fondsanalyse“ und „Kontoabgleich“ produktiv erproben, an Hausstandard anpassen.</w:t>
      </w:r>
    </w:p>
    <w:p>
      <w:pPr>
        <w:pStyle w:val="ListParagraph"/>
        <w:numPr>
          <w:ilvl w:val="0"/>
          <w:numId w:val="2"/>
        </w:numPr>
        <w:spacing w:after="60" w:line="264"/>
      </w:pPr>
      <w:r>
        <w:t xml:space="preserve">Research-Assistent und Hauswissen-Suche aufsetzen; erste kuratierte Wissensbasis befüllen.</w:t>
      </w:r>
    </w:p>
    <w:p>
      <w:pPr>
        <w:pStyle w:val="ListParagraph"/>
        <w:numPr>
          <w:ilvl w:val="0"/>
          <w:numId w:val="2"/>
        </w:numPr>
        <w:spacing w:after="60" w:line="264"/>
      </w:pPr>
      <w:r>
        <w:t xml:space="preserve">Hausvorlagen (Reporting, Anschreiben) und Stil-/Qualitätsrichtlinien erstellen.</w:t>
      </w:r>
    </w:p>
    <w:p>
      <w:pPr>
        <w:pStyle w:val="ListParagraph"/>
        <w:numPr>
          <w:ilvl w:val="0"/>
          <w:numId w:val="2"/>
        </w:numPr>
        <w:spacing w:after="60" w:line="264"/>
      </w:pPr>
      <w:r>
        <w:t xml:space="preserve">Feedback-Schleife mit Pilotnutzern; Mess- und Freigabeprozess einüben.</w:t>
      </w:r>
    </w:p>
    <w:p>
      <w:pPr>
        <w:pStyle w:val="Heading3"/>
      </w:pPr>
      <w:r>
        <w:t xml:space="preserve">Phase 2 – Vermögensverwaltung</w:t>
      </w:r>
    </w:p>
    <w:p>
      <w:pPr>
        <w:pStyle w:val="ListParagraph"/>
        <w:numPr>
          <w:ilvl w:val="0"/>
          <w:numId w:val="2"/>
        </w:numPr>
        <w:spacing w:after="60" w:line="264"/>
      </w:pPr>
      <w:r>
        <w:t xml:space="preserve">Portfolio-/Performance-Daten anbinden (lesend) und Aufbereitungs-Agenten entwickeln.</w:t>
      </w:r>
    </w:p>
    <w:p>
      <w:pPr>
        <w:pStyle w:val="ListParagraph"/>
        <w:numPr>
          <w:ilvl w:val="0"/>
          <w:numId w:val="2"/>
        </w:numPr>
        <w:spacing w:after="60" w:line="264"/>
      </w:pPr>
      <w:r>
        <w:t xml:space="preserve">Marktbeobachtungs-Briefing als geplante Aufgabe einführen.</w:t>
      </w:r>
    </w:p>
    <w:p>
      <w:pPr>
        <w:pStyle w:val="ListParagraph"/>
        <w:numPr>
          <w:ilvl w:val="0"/>
          <w:numId w:val="2"/>
        </w:numPr>
        <w:spacing w:after="60" w:line="264"/>
      </w:pPr>
      <w:r>
        <w:t xml:space="preserve">Reporting-Entwürfe und Anlageausschuss-Unterstützung produktiv setzen (mit Freigabe).</w:t>
      </w:r>
    </w:p>
    <w:p>
      <w:pPr>
        <w:pStyle w:val="Heading3"/>
      </w:pPr>
      <w:r>
        <w:t xml:space="preserve">Phase 3 – Family-Office-Betrieb</w:t>
      </w:r>
    </w:p>
    <w:p>
      <w:pPr>
        <w:pStyle w:val="ListParagraph"/>
        <w:numPr>
          <w:ilvl w:val="0"/>
          <w:numId w:val="2"/>
        </w:numPr>
        <w:spacing w:after="60" w:line="264"/>
      </w:pPr>
      <w:r>
        <w:t xml:space="preserve">Dokumenten-Extraktion und Vermögensübersichten ausbauen; Anbindung interner Systeme über MCP.</w:t>
      </w:r>
    </w:p>
    <w:p>
      <w:pPr>
        <w:pStyle w:val="ListParagraph"/>
        <w:numPr>
          <w:ilvl w:val="0"/>
          <w:numId w:val="2"/>
        </w:numPr>
        <w:spacing w:after="60" w:line="264"/>
      </w:pPr>
      <w:r>
        <w:t xml:space="preserve">Reconciliation und Fristen-/Vorgangsverfolgung automatisieren (überwacht, mit Eskalation).</w:t>
      </w:r>
    </w:p>
    <w:p>
      <w:pPr>
        <w:pStyle w:val="ListParagraph"/>
        <w:numPr>
          <w:ilvl w:val="0"/>
          <w:numId w:val="2"/>
        </w:numPr>
        <w:spacing w:after="60" w:line="264"/>
      </w:pPr>
      <w:r>
        <w:t xml:space="preserve">Posteingang-Triage für interne Abläufe einführen.</w:t>
      </w:r>
    </w:p>
    <w:p>
      <w:pPr>
        <w:pStyle w:val="Heading3"/>
      </w:pPr>
      <w:r>
        <w:t xml:space="preserve">Phase 4 – Kundenkommunikation &amp; Skalierung</w:t>
      </w:r>
    </w:p>
    <w:p>
      <w:pPr>
        <w:pStyle w:val="ListParagraph"/>
        <w:numPr>
          <w:ilvl w:val="0"/>
          <w:numId w:val="2"/>
        </w:numPr>
        <w:spacing w:after="60" w:line="264"/>
      </w:pPr>
      <w:r>
        <w:t xml:space="preserve">Entwurfs-Agenten für Anschreiben, Begleittexte und Termin-Vorbereitung (Stufe 2, mit Freigabe).</w:t>
      </w:r>
    </w:p>
    <w:p>
      <w:pPr>
        <w:pStyle w:val="ListParagraph"/>
        <w:numPr>
          <w:ilvl w:val="0"/>
          <w:numId w:val="2"/>
        </w:numPr>
        <w:spacing w:after="60" w:line="264"/>
      </w:pPr>
      <w:r>
        <w:t xml:space="preserve">Rollout auf alle Mitarbeiter; Schulung und Betriebshandbuch.</w:t>
      </w:r>
    </w:p>
    <w:p>
      <w:pPr>
        <w:pStyle w:val="ListParagraph"/>
        <w:numPr>
          <w:ilvl w:val="0"/>
          <w:numId w:val="2"/>
        </w:numPr>
        <w:spacing w:after="60" w:line="264"/>
      </w:pPr>
      <w:r>
        <w:t xml:space="preserve">Kontinuierliche Verbesserung: Kennzahlen, Skill-Pflege, neue Use-Cases.</w:t>
      </w:r>
    </w:p>
    <w:p>
      <w:pPr>
        <w:pStyle w:val="Heading2"/>
      </w:pPr>
      <w:r>
        <w:t xml:space="preserve">8.3  Meilensteine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2600"/>
      </w:tblGrid>
      <w:tr>
        <w:trPr>
          <w:tblHeader/>
        </w:trPr>
        <w:tc>
          <w:tcPr>
            <w:tcW w:type="dxa" w:w="14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Meilenst.</w:t>
            </w:r>
          </w:p>
        </w:tc>
        <w:tc>
          <w:tcPr>
            <w:tcW w:type="dxa" w:w="536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Kriterium</w:t>
            </w:r>
          </w:p>
        </w:tc>
        <w:tc>
          <w:tcPr>
            <w:tcW w:type="dxa" w:w="26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Zeitpunkt (Richtwert)</w:t>
            </w:r>
          </w:p>
        </w:tc>
      </w:tr>
      <w:tr>
        <w:tc>
          <w:tcPr>
            <w:tcW w:type="dxa" w:w="14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M0</w:t>
            </w:r>
          </w:p>
        </w:tc>
        <w:tc>
          <w:tcPr>
            <w:tcW w:type="dxa" w:w="53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Governance- und Betriebsrahmen freigegeben; Pilotteam steht.</w:t>
            </w:r>
          </w:p>
        </w:tc>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Ende Phase 0</w:t>
            </w:r>
          </w:p>
        </w:tc>
      </w:tr>
      <w:tr>
        <w:tc>
          <w:tcPr>
            <w:tcW w:type="dxa" w:w="14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M1</w:t>
            </w:r>
          </w:p>
        </w:tc>
        <w:tc>
          <w:tcPr>
            <w:tcW w:type="dxa" w:w="53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Erster Agent produktiv im Hausstandard, messbarer Nutzen.</w:t>
            </w:r>
          </w:p>
        </w:tc>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Ende Phase 1</w:t>
            </w:r>
          </w:p>
        </w:tc>
      </w:tr>
      <w:tr>
        <w:tc>
          <w:tcPr>
            <w:tcW w:type="dxa" w:w="14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M2</w:t>
            </w:r>
          </w:p>
        </w:tc>
        <w:tc>
          <w:tcPr>
            <w:tcW w:type="dxa" w:w="53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Vermögensverwaltung: Research &amp; Reporting im Einsatz.</w:t>
            </w:r>
          </w:p>
        </w:tc>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Ende Phase 2</w:t>
            </w:r>
          </w:p>
        </w:tc>
      </w:tr>
      <w:tr>
        <w:tc>
          <w:tcPr>
            <w:tcW w:type="dxa" w:w="14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M3</w:t>
            </w:r>
          </w:p>
        </w:tc>
        <w:tc>
          <w:tcPr>
            <w:tcW w:type="dxa" w:w="53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Family-Office-Betrieb: Reconciliation &amp; Dokumente automatisiert.</w:t>
            </w:r>
          </w:p>
        </w:tc>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Ende Phase 3</w:t>
            </w:r>
          </w:p>
        </w:tc>
      </w:tr>
      <w:tr>
        <w:tc>
          <w:tcPr>
            <w:tcW w:type="dxa" w:w="14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M4</w:t>
            </w:r>
          </w:p>
        </w:tc>
        <w:tc>
          <w:tcPr>
            <w:tcW w:type="dxa" w:w="53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Hausweiter Rollout; Betriebsmodell verstetigt.</w:t>
            </w:r>
          </w:p>
        </w:tc>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Ende Phase 4</w:t>
            </w:r>
          </w:p>
        </w:tc>
      </w:tr>
    </w:tbl>
    <w:p>
      <w:r>
        <w:br w:type="page"/>
      </w:r>
    </w:p>
    <w:p>
      <w:pPr>
        <w:pStyle w:val="Heading1"/>
      </w:pPr>
      <w:r>
        <w:t xml:space="preserve">9  Rollen, Team und Verantwortlichkeiten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Rolle</w:t>
            </w:r>
          </w:p>
        </w:tc>
        <w:tc>
          <w:tcPr>
            <w:tcW w:type="dxa" w:w="676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Verantwortung im Projekt</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Projektsponsor (GF/Gesellschafter)</w:t>
            </w:r>
          </w:p>
        </w:tc>
        <w:tc>
          <w:tcPr>
            <w:tcW w:type="dxa" w:w="6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Ziele, Budget, Priorisierung, Freigabe der Governance.</w:t>
            </w:r>
          </w:p>
        </w:tc>
      </w:tr>
      <w:tr>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Projektleitung</w:t>
            </w:r>
          </w:p>
        </w:tc>
        <w:tc>
          <w:tcPr>
            <w:tcW w:type="dxa" w:w="6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Steuerung, Roadmap, Berichtswesen, Schnittstelle zwischen Fach, IT und Compliance.</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Fachverantwortliche (VV / Family Office / Kundenbetreuung)</w:t>
            </w:r>
          </w:p>
        </w:tc>
        <w:tc>
          <w:tcPr>
            <w:tcW w:type="dxa" w:w="6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Use-Cases, Vorlagen, Qualitätskontrolle, Abnahme der Ergebnisse.</w:t>
            </w:r>
          </w:p>
        </w:tc>
      </w:tr>
      <w:tr>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IT / Betrieb</w:t>
            </w:r>
          </w:p>
        </w:tc>
        <w:tc>
          <w:tcPr>
            <w:tcW w:type="dxa" w:w="6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Installation, Härtung, Modelle, MCP-Anbindungen, Monitoring, Backups.</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Compliance &amp; Datenschutz</w:t>
            </w:r>
          </w:p>
        </w:tc>
        <w:tc>
          <w:tcPr>
            <w:tcW w:type="dxa" w:w="6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Regulatorische Leitplanken, Freigaben, Audit, DSGVO.</w:t>
            </w:r>
          </w:p>
        </w:tc>
      </w:tr>
      <w:tr>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Pilotnutzer</w:t>
            </w:r>
          </w:p>
        </w:tc>
        <w:tc>
          <w:tcPr>
            <w:tcW w:type="dxa" w:w="6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Praxistest, Feedback, Einübung der Freigabeprozesse.</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Externe Beratung (optional)</w:t>
            </w:r>
          </w:p>
        </w:tc>
        <w:tc>
          <w:tcPr>
            <w:tcW w:type="dxa" w:w="6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Aufsichts-/Datenschutzfragen, Sicherheitsprüfung, ggf. Modell-/Hardwareauswahl.</w:t>
            </w:r>
          </w:p>
        </w:tc>
      </w:tr>
    </w:tbl>
    <w:p>
      <w:pPr>
        <w:spacing w:after="120" w:line="276"/>
      </w:pPr>
      <w:r>
        <w:rPr>
          <w:b/>
          <w:bCs/>
        </w:rPr>
        <w:t xml:space="preserve">Empfehlung: </w:t>
      </w:r>
      <w:r>
        <w:t xml:space="preserve">Ein kleines, festes Kernteam (Fach + IT + Compliance) mit klarer Projektleitung ist wirksamer als eine breite, lose Beteiligung. Externe Unterstützung gezielt für Aufsichts-, Datenschutz- und Sicherheitsfragen hinzuziehen.</w:t>
      </w:r>
    </w:p>
    <w:p>
      <w:r>
        <w:br w:type="page"/>
      </w:r>
    </w:p>
    <w:p>
      <w:pPr>
        <w:pStyle w:val="Heading1"/>
      </w:pPr>
      <w:r>
        <w:t xml:space="preserve">10  Aufwand, Ressourcen und Investition</w:t>
      </w:r>
    </w:p>
    <w:p>
      <w:pPr>
        <w:spacing w:after="120" w:line="276"/>
      </w:pPr>
      <w:r>
        <w:t xml:space="preserve">Die folgenden Angaben sind indikativ und dienen der Größenordnung. Die wesentliche Investition liegt in der internen Zeit der Fach- und IT-Mitarbeiter sowie ggf. in Hardware für lokale Modelle; die Software selbst ist quelloffen und wird im Haus betrieben.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Ressource</w:t>
            </w:r>
          </w:p>
        </w:tc>
        <w:tc>
          <w:tcPr>
            <w:tcW w:type="dxa" w:w="338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Bedarf</w:t>
            </w:r>
          </w:p>
        </w:tc>
        <w:tc>
          <w:tcPr>
            <w:tcW w:type="dxa" w:w="338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Anmerkung</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Personal (intern)</w:t>
            </w:r>
          </w:p>
        </w:tc>
        <w:tc>
          <w:tcPr>
            <w:tcW w:type="dxa" w:w="33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Kernteam aus Fach, IT und Compliance, anteilig über die Projektlaufzeit.</w:t>
            </w:r>
          </w:p>
        </w:tc>
        <w:tc>
          <w:tcPr>
            <w:tcW w:type="dxa" w:w="33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Größter Posten; Verfügbarkeit ist der kritische Faktor.</w:t>
            </w:r>
          </w:p>
        </w:tc>
      </w:tr>
      <w:tr>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Hardware</w:t>
            </w:r>
          </w:p>
        </w:tc>
        <w:tc>
          <w:tcPr>
            <w:tcW w:type="dxa" w:w="33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Server/Workstation mit ausreichend Arbeitsspeicher und – für lokale Modelle – GPU.</w:t>
            </w:r>
          </w:p>
        </w:tc>
        <w:tc>
          <w:tcPr>
            <w:tcW w:type="dxa" w:w="33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Dimensionierung in Phase 0; Skalierung nach Modellwahl.</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Software</w:t>
            </w:r>
          </w:p>
        </w:tc>
        <w:tc>
          <w:tcPr>
            <w:tcW w:type="dxa" w:w="33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Odysseus (quelloffen), lokale Modelle.</w:t>
            </w:r>
          </w:p>
        </w:tc>
        <w:tc>
          <w:tcPr>
            <w:tcW w:type="dxa" w:w="33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Keine Lizenzkosten für die Plattform selbst.</w:t>
            </w:r>
          </w:p>
        </w:tc>
      </w:tr>
      <w:tr>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Externe Modelle (optional)</w:t>
            </w:r>
          </w:p>
        </w:tc>
        <w:tc>
          <w:tcPr>
            <w:tcW w:type="dxa" w:w="33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API-Nutzung für unkritische Aufgaben.</w:t>
            </w:r>
          </w:p>
        </w:tc>
        <w:tc>
          <w:tcPr>
            <w:tcW w:type="dxa" w:w="33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Nur bei geprüftem Datenschutz; nutzungsabhängige Kosten.</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Beratung (optional)</w:t>
            </w:r>
          </w:p>
        </w:tc>
        <w:tc>
          <w:tcPr>
            <w:tcW w:type="dxa" w:w="33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Aufsicht/Datenschutz/Sicherheit.</w:t>
            </w:r>
          </w:p>
        </w:tc>
        <w:tc>
          <w:tcPr>
            <w:tcW w:type="dxa" w:w="33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Punktuell, risikoorientiert.</w:t>
            </w:r>
          </w:p>
        </w:tc>
      </w:tr>
      <w:tr>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Betrieb</w:t>
            </w:r>
          </w:p>
        </w:tc>
        <w:tc>
          <w:tcPr>
            <w:tcW w:type="dxa" w:w="33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Wartung, Updates, Monitoring, Backups.</w:t>
            </w:r>
          </w:p>
        </w:tc>
        <w:tc>
          <w:tcPr>
            <w:tcW w:type="dxa" w:w="33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Laufend; in IT-Betrieb zu verankern.</w:t>
            </w:r>
          </w:p>
        </w:tc>
      </w:tr>
    </w:tbl>
    <w:p>
      <w:pPr>
        <w:spacing w:after="120" w:line="276"/>
      </w:pPr>
      <w:r>
        <w:rPr>
          <w:b/>
          <w:bCs/>
        </w:rPr>
        <w:t xml:space="preserve">Hinweis zur Wirtschaftlichkeit: </w:t>
      </w:r>
      <w:r>
        <w:t xml:space="preserve">Der Nutzen entsteht primär aus eingesparter Bearbeitungszeit und höherer Ergebnisqualität. Es empfiehlt sich, in Phase 1 für die Pilot-Use-Cases die Zeitersparnis je Vorgang zu messen, um die Wirtschaftlichkeit der weiteren Phasen fundiert zu belegen.</w:t>
      </w:r>
    </w:p>
    <w:p>
      <w:r>
        <w:br w:type="page"/>
      </w:r>
    </w:p>
    <w:p>
      <w:pPr>
        <w:pStyle w:val="Heading1"/>
      </w:pPr>
      <w:r>
        <w:t xml:space="preserve">11  Risiken und Gegenmaßnahmen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560"/>
      </w:tblGrid>
      <w:tr>
        <w:trPr>
          <w:tblHeader/>
        </w:trPr>
        <w:tc>
          <w:tcPr>
            <w:tcW w:type="dxa" w:w="27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Risiko</w:t>
            </w:r>
          </w:p>
        </w:tc>
        <w:tc>
          <w:tcPr>
            <w:tcW w:type="dxa" w:w="11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Bewertung</w:t>
            </w:r>
          </w:p>
        </w:tc>
        <w:tc>
          <w:tcPr>
            <w:tcW w:type="dxa" w:w="556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Gegenmaßnahme</w:t>
            </w:r>
          </w:p>
        </w:tc>
      </w:tr>
      <w:tr>
        <w:tc>
          <w:tcPr>
            <w:tcW w:type="dxa" w:w="27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Fehlerhafte oder erfundene Ergebnisse („Halluzination“)</w:t>
            </w:r>
          </w:p>
        </w:tc>
        <w:tc>
          <w:tcPr>
            <w:tcW w:type="dxa" w:w="11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Hoch</w:t>
            </w:r>
          </w:p>
        </w:tc>
        <w:tc>
          <w:tcPr>
            <w:tcW w:type="dxa" w:w="55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Menschliche Freigabe, Quellenpflicht, Stichprobenkontrolle, klar abgegrenzte Aufgaben.</w:t>
            </w:r>
          </w:p>
        </w:tc>
      </w:tr>
      <w:tr>
        <w:tc>
          <w:tcPr>
            <w:tcW w:type="dxa" w:w="27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Datenschutz-/Aufsichtsverstoß</w:t>
            </w:r>
          </w:p>
        </w:tc>
        <w:tc>
          <w:tcPr>
            <w:tcW w:type="dxa" w:w="11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Hoch</w:t>
            </w:r>
          </w:p>
        </w:tc>
        <w:tc>
          <w:tcPr>
            <w:tcW w:type="dxa" w:w="55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Lokale Verarbeitung, Datenminimierung, Freigaben, Compliance-Einbindung, Protokollierung.</w:t>
            </w:r>
          </w:p>
        </w:tc>
      </w:tr>
      <w:tr>
        <w:tc>
          <w:tcPr>
            <w:tcW w:type="dxa" w:w="27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Prompt-Injection / manipulierte Inhalte</w:t>
            </w:r>
          </w:p>
        </w:tc>
        <w:tc>
          <w:tcPr>
            <w:tcW w:type="dxa" w:w="11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Mittel</w:t>
            </w:r>
          </w:p>
        </w:tc>
        <w:tc>
          <w:tcPr>
            <w:tcW w:type="dxa" w:w="55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Behandlung externer Inhalte als nicht vertrauenswürdig, Werkzeug-/Rechtebegrenzung, Tests.</w:t>
            </w:r>
          </w:p>
        </w:tc>
      </w:tr>
      <w:tr>
        <w:tc>
          <w:tcPr>
            <w:tcW w:type="dxa" w:w="27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Übermäßige Autonomie / Fehlhandlung</w:t>
            </w:r>
          </w:p>
        </w:tc>
        <w:tc>
          <w:tcPr>
            <w:tcW w:type="dxa" w:w="11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Mittel</w:t>
            </w:r>
          </w:p>
        </w:tc>
        <w:tc>
          <w:tcPr>
            <w:tcW w:type="dxa" w:w="55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Prinzip geringster Rechte, Lese-/Schreibtrennung, Stufenmodell, keine Geld-/Anlagehandlungen durch Agenten.</w:t>
            </w:r>
          </w:p>
        </w:tc>
      </w:tr>
      <w:tr>
        <w:tc>
          <w:tcPr>
            <w:tcW w:type="dxa" w:w="27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Akzeptanz der Mitarbeiter</w:t>
            </w:r>
          </w:p>
        </w:tc>
        <w:tc>
          <w:tcPr>
            <w:tcW w:type="dxa" w:w="11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Mittel</w:t>
            </w:r>
          </w:p>
        </w:tc>
        <w:tc>
          <w:tcPr>
            <w:tcW w:type="dxa" w:w="55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Frühe Einbindung, Schulung, Quick Wins, Entlastung statt Ersatz kommunizieren.</w:t>
            </w:r>
          </w:p>
        </w:tc>
      </w:tr>
      <w:tr>
        <w:tc>
          <w:tcPr>
            <w:tcW w:type="dxa" w:w="27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Abhängigkeit von Einzelpersonen/Know-how</w:t>
            </w:r>
          </w:p>
        </w:tc>
        <w:tc>
          <w:tcPr>
            <w:tcW w:type="dxa" w:w="11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Mittel</w:t>
            </w:r>
          </w:p>
        </w:tc>
        <w:tc>
          <w:tcPr>
            <w:tcW w:type="dxa" w:w="55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Dokumentation, Versionierung, Mehrfachbesetzung von Schlüsselrollen.</w:t>
            </w:r>
          </w:p>
        </w:tc>
      </w:tr>
      <w:tr>
        <w:tc>
          <w:tcPr>
            <w:tcW w:type="dxa" w:w="27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Technische Reife einzelner Bausteine</w:t>
            </w:r>
          </w:p>
        </w:tc>
        <w:tc>
          <w:tcPr>
            <w:tcW w:type="dxa" w:w="11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Mittel</w:t>
            </w:r>
          </w:p>
        </w:tc>
        <w:tc>
          <w:tcPr>
            <w:tcW w:type="dxa" w:w="55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Risikoarme Use-Cases zuerst; Reifegrad-Maßnahmen aus der Roadmap berücksichtigen; Testumgebung.</w:t>
            </w:r>
          </w:p>
        </w:tc>
      </w:tr>
      <w:tr>
        <w:tc>
          <w:tcPr>
            <w:tcW w:type="dxa" w:w="27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Betriebs-/Ausfallrisiko (DORA)</w:t>
            </w:r>
          </w:p>
        </w:tc>
        <w:tc>
          <w:tcPr>
            <w:tcW w:type="dxa" w:w="11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Mittel</w:t>
            </w:r>
          </w:p>
        </w:tc>
        <w:tc>
          <w:tcPr>
            <w:tcW w:type="dxa" w:w="55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Backups, Monitoring, Notfallkonzept, regelmäßige Tests.</w:t>
            </w:r>
          </w:p>
        </w:tc>
      </w:tr>
    </w:tbl>
    <w:p>
      <w:r>
        <w:br w:type="page"/>
      </w:r>
    </w:p>
    <w:p>
      <w:pPr>
        <w:pStyle w:val="Heading1"/>
      </w:pPr>
      <w:r>
        <w:t xml:space="preserve">12  Erfolgsmessung</w:t>
      </w:r>
    </w:p>
    <w:p>
      <w:pPr>
        <w:spacing w:after="120" w:line="276"/>
      </w:pPr>
      <w:r>
        <w:t xml:space="preserve">Der Projekterfolg wird an wenigen, aussagekräftigen Kennzahlen gemessen. Vorschlag: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Kennzahl</w:t>
            </w:r>
          </w:p>
        </w:tc>
        <w:tc>
          <w:tcPr>
            <w:tcW w:type="dxa" w:w="636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Aussage</w:t>
            </w:r>
          </w:p>
        </w:tc>
      </w:tr>
      <w:tr>
        <w:tc>
          <w:tcPr>
            <w:tcW w:type="dxa" w:w="30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Zeitersparnis je Vorgang</w:t>
            </w:r>
          </w:p>
        </w:tc>
        <w:tc>
          <w:tcPr>
            <w:tcW w:type="dxa" w:w="63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Reduktion der Bearbeitungszeit für Pilot-Use-Cases (Vorher-/Nachher-Messung).</w:t>
            </w:r>
          </w:p>
        </w:tc>
      </w:tr>
      <w:tr>
        <w:tc>
          <w:tcPr>
            <w:tcW w:type="dxa" w:w="30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Nutzungsgrad</w:t>
            </w:r>
          </w:p>
        </w:tc>
        <w:tc>
          <w:tcPr>
            <w:tcW w:type="dxa" w:w="63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Anteil der Mitarbeiter, die Agenten regelmäßig einsetzen.</w:t>
            </w:r>
          </w:p>
        </w:tc>
      </w:tr>
      <w:tr>
        <w:tc>
          <w:tcPr>
            <w:tcW w:type="dxa" w:w="30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Qualität/Trefferquote</w:t>
            </w:r>
          </w:p>
        </w:tc>
        <w:tc>
          <w:tcPr>
            <w:tcW w:type="dxa" w:w="63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Anteil der Agentenergebnisse, die ohne wesentliche Nacharbeit freigegeben werden.</w:t>
            </w:r>
          </w:p>
        </w:tc>
      </w:tr>
      <w:tr>
        <w:tc>
          <w:tcPr>
            <w:tcW w:type="dxa" w:w="30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Durchlaufzeit</w:t>
            </w:r>
          </w:p>
        </w:tc>
        <w:tc>
          <w:tcPr>
            <w:tcW w:type="dxa" w:w="63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Verkürzung der Gesamtdurchlaufzeit ausgewählter Prozesse (z. B. Reporting).</w:t>
            </w:r>
          </w:p>
        </w:tc>
      </w:tr>
      <w:tr>
        <w:tc>
          <w:tcPr>
            <w:tcW w:type="dxa" w:w="30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Compliance-Konformität</w:t>
            </w:r>
          </w:p>
        </w:tc>
        <w:tc>
          <w:tcPr>
            <w:tcW w:type="dxa" w:w="63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Vollständigkeit der Protokollierung und Einhaltung der Freigabeprozesse (Audit).</w:t>
            </w:r>
          </w:p>
        </w:tc>
      </w:tr>
      <w:tr>
        <w:tc>
          <w:tcPr>
            <w:tcW w:type="dxa" w:w="30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Zufriedenheit</w:t>
            </w:r>
          </w:p>
        </w:tc>
        <w:tc>
          <w:tcPr>
            <w:tcW w:type="dxa" w:w="63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Rückmeldung der Mitarbeiter zur Entlastung und Nützlichkeit.</w:t>
            </w:r>
          </w:p>
        </w:tc>
      </w:tr>
    </w:tbl>
    <w:p>
      <w:pPr>
        <w:spacing w:after="120" w:line="276"/>
      </w:pPr>
      <w:r>
        <w:rPr>
          <w:b/>
          <w:bCs/>
        </w:rPr>
        <w:t xml:space="preserve">Empfehlung: </w:t>
      </w:r>
      <w:r>
        <w:t xml:space="preserve">Bereits in Phase 1 eine schlanke Vorher-/Nachher-Messung für zwei bis drei Vorgänge etablieren, um den Nutzen früh zu belegen und die weiteren Phasen zu priorisieren.</w:t>
      </w:r>
    </w:p>
    <w:p>
      <w:r>
        <w:br w:type="page"/>
      </w:r>
    </w:p>
    <w:p>
      <w:pPr>
        <w:pStyle w:val="Heading1"/>
      </w:pPr>
      <w:r>
        <w:t xml:space="preserve">13  Nächste Schritte (30–60 Tage)</w:t>
      </w:r>
    </w:p>
    <w:p>
      <w:pPr>
        <w:pStyle w:val="ListParagraph"/>
        <w:numPr>
          <w:ilvl w:val="0"/>
          <w:numId w:val="3"/>
        </w:numPr>
        <w:spacing w:after="60" w:line="264"/>
      </w:pPr>
      <w:r>
        <w:t xml:space="preserve">Entscheidung über Projektstart, Sponsor und Kernteam (Fach, IT, Compliance).</w:t>
      </w:r>
    </w:p>
    <w:p>
      <w:pPr>
        <w:pStyle w:val="ListParagraph"/>
        <w:numPr>
          <w:ilvl w:val="0"/>
          <w:numId w:val="3"/>
        </w:numPr>
        <w:spacing w:after="60" w:line="264"/>
      </w:pPr>
      <w:r>
        <w:t xml:space="preserve">Phase-0-Workshop: Datenklassen, lokale Modellstrategie, Rollen-/Rechtekonzept, Erfolgskriterien.</w:t>
      </w:r>
    </w:p>
    <w:p>
      <w:pPr>
        <w:pStyle w:val="ListParagraph"/>
        <w:numPr>
          <w:ilvl w:val="0"/>
          <w:numId w:val="3"/>
        </w:numPr>
        <w:spacing w:after="60" w:line="264"/>
      </w:pPr>
      <w:r>
        <w:t xml:space="preserve">Test- und Produktivumgebung trennen; Betrieb härten (Backups, 2FA, Zugriffsschutz).</w:t>
      </w:r>
    </w:p>
    <w:p>
      <w:pPr>
        <w:pStyle w:val="ListParagraph"/>
        <w:numPr>
          <w:ilvl w:val="0"/>
          <w:numId w:val="3"/>
        </w:numPr>
        <w:spacing w:after="60" w:line="264"/>
      </w:pPr>
      <w:r>
        <w:t xml:space="preserve">Pilot starten mit Fondsanalyse und Kontoabgleich (vorhandene Skills) sowie Hauswissen-Suche.</w:t>
      </w:r>
    </w:p>
    <w:p>
      <w:pPr>
        <w:pStyle w:val="ListParagraph"/>
        <w:numPr>
          <w:ilvl w:val="0"/>
          <w:numId w:val="3"/>
        </w:numPr>
        <w:spacing w:after="60" w:line="264"/>
      </w:pPr>
      <w:r>
        <w:t xml:space="preserve">Vorher-/Nachher-Messung für zwei Pilot-Vorgänge aufsetzen.</w:t>
      </w:r>
    </w:p>
    <w:p>
      <w:pPr>
        <w:pStyle w:val="ListParagraph"/>
        <w:numPr>
          <w:ilvl w:val="0"/>
          <w:numId w:val="3"/>
        </w:numPr>
        <w:spacing w:after="60" w:line="264"/>
      </w:pPr>
      <w:r>
        <w:t xml:space="preserve">Compliance-/Datenschutz-Leitplanken dokumentieren und abstimmen.</w:t>
      </w:r>
    </w:p>
    <w:p>
      <w:pPr>
        <w:pStyle w:val="ListParagraph"/>
        <w:numPr>
          <w:ilvl w:val="0"/>
          <w:numId w:val="3"/>
        </w:numPr>
        <w:spacing w:after="60" w:line="264"/>
      </w:pPr>
      <w:r>
        <w:t xml:space="preserve">Nach 60 Tagen: Auswertung, Entscheidung über Phase 2.</w:t>
      </w:r>
    </w:p>
    <w:p>
      <w:pPr>
        <w:spacing w:after="120"/>
      </w:pPr>
    </w:p>
    <w:p>
      <w:pPr>
        <w:pBdr>
          <w:bottom w:val="single" w:color="2E6CA4" w:sz="6" w:space="1"/>
        </w:pBdr>
        <w:spacing w:after="120"/>
      </w:pPr>
    </w:p>
    <w:p>
      <w:pPr>
        <w:spacing w:after="120" w:line="276"/>
      </w:pPr>
      <w:r>
        <w:rPr>
          <w:b/>
          <w:bCs/>
        </w:rPr>
        <w:t xml:space="preserve">Fazit. </w:t>
      </w:r>
      <w:r>
        <w:t xml:space="preserve">Odysseus ist ein tragfähiges Fundament, das eine eigenständige, datensouveräne KI-Plattform für Meeder &amp; Seifer bereits heute ermöglicht. Mit einem klaren Governance-Rahmen, priorisierten Use-Cases und schrittweiser Einführung lässt sich kurzfristig spürbarer Nutzen erzielen – und mittelfristig ein durchgängiges Team von KI-Assistenten aufbauen, das die Mitarbeiter in Vermögensverwaltung, Family-Office-Betrieb und Kundenkommunikation wirksam unterstützt.</w:t>
      </w:r>
    </w:p>
    <w:p>
      <w:r>
        <w:br w:type="page"/>
      </w:r>
    </w:p>
    <w:p>
      <w:pPr>
        <w:pStyle w:val="Heading1"/>
      </w:pPr>
      <w:r>
        <w:t xml:space="preserve">Anhang A  Glossar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Begriff</w:t>
            </w:r>
          </w:p>
        </w:tc>
        <w:tc>
          <w:tcPr>
            <w:tcW w:type="dxa" w:w="676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Erläuterung</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Agent</w:t>
            </w:r>
          </w:p>
        </w:tc>
        <w:tc>
          <w:tcPr>
            <w:tcW w:type="dxa" w:w="6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Sprachmodell mit Fachanleitung, begrenztem Werkzeugkasten und Leitplanken, das eine umrissene Aufgabe ausführt.</w:t>
            </w:r>
          </w:p>
        </w:tc>
      </w:tr>
      <w:tr>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Skill</w:t>
            </w:r>
          </w:p>
        </w:tc>
        <w:tc>
          <w:tcPr>
            <w:tcW w:type="dxa" w:w="6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Wiederverwendbare Fachprozedur (Anleitung + ggf. Skripte), die einem Agenten Domänenwissen und Ablauf vorgibt.</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MCP (Model Context Protocol)</w:t>
            </w:r>
          </w:p>
        </w:tc>
        <w:tc>
          <w:tcPr>
            <w:tcW w:type="dxa" w:w="6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Standardisierte Schnittstelle, über die Agenten externe Systeme als Werkzeuge nutzen.</w:t>
            </w:r>
          </w:p>
        </w:tc>
      </w:tr>
      <w:tr>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RAG</w:t>
            </w:r>
          </w:p>
        </w:tc>
        <w:tc>
          <w:tcPr>
            <w:tcW w:type="dxa" w:w="6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„Retrieval-Augmented Generation“ – Antworten auf Basis durchsuchter Hausdokumente statt reinem Modellwissen.</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On-Premises / selbst-gehostet</w:t>
            </w:r>
          </w:p>
        </w:tc>
        <w:tc>
          <w:tcPr>
            <w:tcW w:type="dxa" w:w="6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Betrieb im eigenen Haus/Rechenzentrum ohne Datenabgabe an externe Dienste.</w:t>
            </w:r>
          </w:p>
        </w:tc>
      </w:tr>
      <w:tr>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Lokales Modell</w:t>
            </w:r>
          </w:p>
        </w:tc>
        <w:tc>
          <w:tcPr>
            <w:tcW w:type="dxa" w:w="6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Sprachmodell, das auf eigener Hardware läuft (kein Datenabfluss).</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Human-in-the-Loop</w:t>
            </w:r>
          </w:p>
        </w:tc>
        <w:tc>
          <w:tcPr>
            <w:tcW w:type="dxa" w:w="6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Mensch prüft und gibt Agentenergebnisse vor Verwendung frei.</w:t>
            </w:r>
          </w:p>
        </w:tc>
      </w:tr>
      <w:tr>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Geplante Aufgabe</w:t>
            </w:r>
          </w:p>
        </w:tc>
        <w:tc>
          <w:tcPr>
            <w:tcW w:type="dxa" w:w="676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Zeit-/regelgesteuerter Agentenlauf für wiederkehrende Vorgänge.</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Prompt-Injection</w:t>
            </w:r>
          </w:p>
        </w:tc>
        <w:tc>
          <w:tcPr>
            <w:tcW w:type="dxa" w:w="676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Manipulationsversuch über eingeschleuste Anweisungen in Daten/Dokumenten.</w:t>
            </w:r>
          </w:p>
        </w:tc>
      </w:tr>
    </w:tbl>
    <w:p>
      <w:pPr>
        <w:pStyle w:val="Heading1"/>
      </w:pPr>
      <w:r>
        <w:t xml:space="preserve">Anhang B  Technische Zuordnung der Use-Cases</w:t>
      </w:r>
    </w:p>
    <w:p>
      <w:pPr>
        <w:spacing w:after="120" w:line="276"/>
      </w:pPr>
      <w:r>
        <w:t xml:space="preserve">Zuordnung der Wirkungsfelder zu den vorhandenen Odysseus-Bausteinen – zur Orientierung des Umsetzungsteams.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Use-Case-Feld</w:t>
            </w:r>
          </w:p>
        </w:tc>
        <w:tc>
          <w:tcPr>
            <w:tcW w:type="dxa" w:w="338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Genutzte Bausteine</w:t>
            </w:r>
          </w:p>
        </w:tc>
        <w:tc>
          <w:tcPr>
            <w:tcW w:type="dxa" w:w="3380"/>
            <w:tcBorders>
              <w:top w:val="single" w:color="B7C4D6" w:sz="1"/>
              <w:left w:val="single" w:color="B7C4D6" w:sz="1"/>
              <w:bottom w:val="single" w:color="B7C4D6" w:sz="1"/>
              <w:right w:val="single" w:color="B7C4D6" w:sz="1"/>
            </w:tcBorders>
            <w:shd w:fill="1F3A5F" w:color="auto" w:val="clear"/>
            <w:tcMar>
              <w:top w:type="dxa" w:w="60"/>
              <w:left w:type="dxa" w:w="110"/>
              <w:bottom w:type="dxa" w:w="60"/>
              <w:right w:type="dxa" w:w="110"/>
            </w:tcMar>
            <w:vAlign w:val="center"/>
          </w:tcPr>
          <w:p>
            <w:pPr>
              <w:spacing w:after="20" w:line="252"/>
            </w:pPr>
            <w:r>
              <w:rPr>
                <w:b/>
                <w:bCs/>
                <w:color w:val="FFFFFF"/>
              </w:rPr>
              <w:t xml:space="preserve">Neu zu schaffen</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Fondsanalyse / Kontoabgleich</w:t>
            </w:r>
          </w:p>
        </w:tc>
        <w:tc>
          <w:tcPr>
            <w:tcW w:type="dxa" w:w="33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Vorhandene Skills, Dokumenten-/PDF-Verarbeitung.</w:t>
            </w:r>
          </w:p>
        </w:tc>
        <w:tc>
          <w:tcPr>
            <w:tcW w:type="dxa" w:w="33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Anpassung an Hausstandard, Vorlagen.</w:t>
            </w:r>
          </w:p>
        </w:tc>
      </w:tr>
      <w:tr>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Research / Marktbeobachtung</w:t>
            </w:r>
          </w:p>
        </w:tc>
        <w:tc>
          <w:tcPr>
            <w:tcW w:type="dxa" w:w="33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Deep Research, geplante Aufgaben.</w:t>
            </w:r>
          </w:p>
        </w:tc>
        <w:tc>
          <w:tcPr>
            <w:tcW w:type="dxa" w:w="33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Briefing-Vorlagen, Quellenkuratierung.</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Reporting / Portfolio</w:t>
            </w:r>
          </w:p>
        </w:tc>
        <w:tc>
          <w:tcPr>
            <w:tcW w:type="dxa" w:w="33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Dokumente, Rechen-/Skript-Werkzeuge.</w:t>
            </w:r>
          </w:p>
        </w:tc>
        <w:tc>
          <w:tcPr>
            <w:tcW w:type="dxa" w:w="33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Daten-Anbindung (MCP), Reporting-Vorlagen.</w:t>
            </w:r>
          </w:p>
        </w:tc>
      </w:tr>
      <w:tr>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Hauswissen-Suche</w:t>
            </w:r>
          </w:p>
        </w:tc>
        <w:tc>
          <w:tcPr>
            <w:tcW w:type="dxa" w:w="33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RAG / Wissensbasis, persönliche Dokumente.</w:t>
            </w:r>
          </w:p>
        </w:tc>
        <w:tc>
          <w:tcPr>
            <w:tcW w:type="dxa" w:w="33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Kuratierung, Rechtemodell, Pflegeprozess.</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Dokumenten-Extraktion</w:t>
            </w:r>
          </w:p>
        </w:tc>
        <w:tc>
          <w:tcPr>
            <w:tcW w:type="dxa" w:w="33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PDF-/Office-Verarbeitung, Skills.</w:t>
            </w:r>
          </w:p>
        </w:tc>
        <w:tc>
          <w:tcPr>
            <w:tcW w:type="dxa" w:w="33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Strukturschemata, Validierung.</w:t>
            </w:r>
          </w:p>
        </w:tc>
      </w:tr>
      <w:tr>
        <w:tc>
          <w:tcPr>
            <w:tcW w:type="dxa" w:w="260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Kundenschriftverkehr</w:t>
            </w:r>
          </w:p>
        </w:tc>
        <w:tc>
          <w:tcPr>
            <w:tcW w:type="dxa" w:w="33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Dokumente, E-Mail-Entwurf.</w:t>
            </w:r>
          </w:p>
        </w:tc>
        <w:tc>
          <w:tcPr>
            <w:tcW w:type="dxa" w:w="3380"/>
            <w:tcBorders>
              <w:top w:val="single" w:color="B7C4D6" w:sz="1"/>
              <w:left w:val="single" w:color="B7C4D6" w:sz="1"/>
              <w:bottom w:val="single" w:color="B7C4D6" w:sz="1"/>
              <w:right w:val="single" w:color="B7C4D6" w:sz="1"/>
            </w:tcBorders>
            <w:shd w:fill="EEF3F9" w:color="auto" w:val="clear"/>
            <w:tcMar>
              <w:top w:type="dxa" w:w="60"/>
              <w:left w:type="dxa" w:w="110"/>
              <w:bottom w:type="dxa" w:w="60"/>
              <w:right w:type="dxa" w:w="110"/>
            </w:tcMar>
            <w:vAlign w:val="center"/>
          </w:tcPr>
          <w:p>
            <w:pPr>
              <w:spacing w:after="20" w:line="252"/>
            </w:pPr>
            <w:r>
              <w:t xml:space="preserve">Hausstil-Vorlagen, Freigabe-Workflow.</w:t>
            </w:r>
          </w:p>
        </w:tc>
      </w:tr>
      <w:tr>
        <w:tc>
          <w:tcPr>
            <w:tcW w:type="dxa" w:w="260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Automatisierung / Fristen</w:t>
            </w:r>
          </w:p>
        </w:tc>
        <w:tc>
          <w:tcPr>
            <w:tcW w:type="dxa" w:w="33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Aufgaben-Planer, Erinnerungen.</w:t>
            </w:r>
          </w:p>
        </w:tc>
        <w:tc>
          <w:tcPr>
            <w:tcW w:type="dxa" w:w="3380"/>
            <w:tcBorders>
              <w:top w:val="single" w:color="B7C4D6" w:sz="1"/>
              <w:left w:val="single" w:color="B7C4D6" w:sz="1"/>
              <w:bottom w:val="single" w:color="B7C4D6" w:sz="1"/>
              <w:right w:val="single" w:color="B7C4D6" w:sz="1"/>
            </w:tcBorders>
            <w:tcMar>
              <w:top w:type="dxa" w:w="60"/>
              <w:left w:type="dxa" w:w="110"/>
              <w:bottom w:type="dxa" w:w="60"/>
              <w:right w:type="dxa" w:w="110"/>
            </w:tcMar>
            <w:vAlign w:val="center"/>
          </w:tcPr>
          <w:p>
            <w:pPr>
              <w:spacing w:after="20" w:line="252"/>
            </w:pPr>
            <w:r>
              <w:t xml:space="preserve">Eskalations- und Monitoring-Regeln.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4D6" w:sz="4" w:space="4"/>
      </w:pBdr>
      <w:tabs>
        <w:tab w:val="right" w:pos="9360"/>
      </w:tabs>
    </w:pPr>
    <w:r>
      <w:rPr>
        <w:color w:val="666666"/>
        <w:sz w:val="16"/>
        <w:szCs w:val="16"/>
      </w:rPr>
      <w:t xml:space="preserve">Vertraulich – nur zur internen Verwendung</w:t>
    </w:r>
    <w:r>
      <w:rPr>
        <w:color w:val="666666"/>
        <w:sz w:val="16"/>
        <w:szCs w:val="16"/>
      </w:rPr>
      <w:t xml:space="preserve">	Seite </w:t>
    </w:r>
    <w:r>
      <w:rPr>
        <w:color w:val="666666"/>
        <w:sz w:val="16"/>
        <w:szCs w:val="16"/>
      </w:rPr>
      <w:fldChar w:fldCharType="begin"/>
      <w:instrText xml:space="preserve">PAGE</w:instrText>
      <w:fldChar w:fldCharType="separate"/>
      <w:fldChar w:fldCharType="end"/>
    </w:r>
    <w:r>
      <w:rPr>
        <w:color w:val="666666"/>
        <w:sz w:val="16"/>
        <w:szCs w:val="16"/>
      </w:rPr>
      <w:t xml:space="preserve"> von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4D6" w:sz="4" w:space="4"/>
      </w:pBdr>
      <w:tabs>
        <w:tab w:val="right" w:pos="9360"/>
      </w:tabs>
    </w:pPr>
    <w:r>
      <w:rPr>
        <w:color w:val="666666"/>
        <w:sz w:val="16"/>
        <w:szCs w:val="16"/>
      </w:rPr>
      <w:t xml:space="preserve">Meeder &amp; Seifer  ·  KI-Workspace Odysseus</w:t>
    </w:r>
    <w:r>
      <w:rPr>
        <w:color w:val="666666"/>
        <w:sz w:val="16"/>
        <w:szCs w:val="16"/>
      </w:rPr>
      <w:t xml:space="preserve">	Konzeption &amp; Projektplan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6CA4"/>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Odysseus – Konzeption &amp; Projektplan</dc:title>
  <dc:creator>Meeder &amp; Seifer</dc:creator>
  <dc:description>KI-Agenten für Family Office und Vermögensverwaltung</dc:description>
  <cp:lastModifiedBy>Un-named</cp:lastModifiedBy>
  <cp:revision>1</cp:revision>
  <dcterms:created xsi:type="dcterms:W3CDTF">2026-06-17T20:28:41.050Z</dcterms:created>
  <dcterms:modified xsi:type="dcterms:W3CDTF">2026-06-17T20:28:41.050Z</dcterms:modified>
</cp:coreProperties>
</file>

<file path=docProps/custom.xml><?xml version="1.0" encoding="utf-8"?>
<Properties xmlns="http://schemas.openxmlformats.org/officeDocument/2006/custom-properties" xmlns:vt="http://schemas.openxmlformats.org/officeDocument/2006/docPropsVTypes"/>
</file>