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ab/>
        <w:t>АННОТАЦИЯ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Курсовой проект выполняется на тему «Проектирование информационной системы «ПАО Северсталь» и разработка задачи «» подсистемы «»».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Объектом исследования курсового проекта является ПАО «Северсталь» - российская вертикально интегрированная горнодобывающая и металлургическая компания. Предметом исследования являются бизнес-процессы и информационная система организации.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Цель работы выполнения курсового проекта – изучение содержания предпроектного анализа деятельности предприятия, разработки стандартов управления бизнес-процессами методами реинжиниринга, проектирования информационных систем, разработки задач подсистем, проектирования компонентов ИС, управления проектированием ИС методами сетевого планирования и управления.</w:t>
      </w:r>
      <w:r>
        <w:br w:type="page"/>
      </w:r>
    </w:p>
    <w:p>
      <w:pPr>
        <w:pStyle w:val="Normal"/>
        <w:spacing w:lineRule="auto" w:line="360" w:before="0" w:after="16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ВВЕДЕНИЕ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 ПРЕДПРОЕКТНЫЙ АНАЛИЗ ДЕЯТЕЛЬНОСТИ ПРЕДПРИЯТИЯ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1.1. Характеристика металлургической отрасли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Металлургическая отрасль является одной из ключевых в промышленности России. Она обеспечивает большой процент ВВП, занимая около 4 процентов мирового производства стали. Объем выплавки составляет около 60-70 млн тонн в год, около половины продукции поставляется на экспорт.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Основу российской металлургии составляют крупные вертикально интегрированные холдинги, которые имеют полный производственный цикл - от добычи железной руды до выпуска готового проката. К числу ведущих компаний как раз и относится ПАО «Северсталь».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Современными тенденциями являются импортозамещение оборудования и программного обеспечения, ужесточение экологических требований, переход на более экологичные способы производства, цифровизация производства и управления.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1.2. Наименование и реквизиты предприятия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Полное наименование: </w:t>
      </w:r>
      <w:r>
        <w:rPr>
          <w:rFonts w:cs="Times New Roman" w:ascii="Times New Roman" w:hAnsi="Times New Roman"/>
          <w:sz w:val="28"/>
          <w:szCs w:val="28"/>
        </w:rPr>
        <w:t>Публичное акционерное общество «Северсталь».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Юридический адрес:</w:t>
      </w:r>
      <w:r>
        <w:rPr>
          <w:rFonts w:cs="Times New Roman" w:ascii="Times New Roman" w:hAnsi="Times New Roman"/>
          <w:sz w:val="28"/>
          <w:szCs w:val="28"/>
        </w:rPr>
        <w:t xml:space="preserve"> 162608, Вологодская область, город Череповец, ул. Мира, д. 30.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Управляющая организация:</w:t>
      </w:r>
      <w:r>
        <w:rPr>
          <w:rFonts w:cs="Times New Roman" w:ascii="Times New Roman" w:hAnsi="Times New Roman"/>
          <w:sz w:val="28"/>
          <w:szCs w:val="28"/>
        </w:rPr>
        <w:t xml:space="preserve"> АО «Северсталь Менеджмент» (ИНН 7713505053).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Генеральный директор:</w:t>
      </w:r>
      <w:r>
        <w:rPr>
          <w:rFonts w:cs="Times New Roman" w:ascii="Times New Roman" w:hAnsi="Times New Roman"/>
          <w:sz w:val="28"/>
          <w:szCs w:val="28"/>
        </w:rPr>
        <w:t xml:space="preserve"> Александр Анатольевич Шевелёв.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Реквизиты предприятия[1]: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ИНН:</w:t>
      </w:r>
      <w:r>
        <w:rPr>
          <w:rFonts w:cs="Times New Roman" w:ascii="Times New Roman" w:hAnsi="Times New Roman"/>
          <w:sz w:val="28"/>
          <w:szCs w:val="28"/>
        </w:rPr>
        <w:t xml:space="preserve"> 3528000597;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ОКПО: </w:t>
      </w:r>
      <w:r>
        <w:rPr>
          <w:rFonts w:cs="Times New Roman" w:ascii="Times New Roman" w:hAnsi="Times New Roman"/>
          <w:sz w:val="28"/>
          <w:szCs w:val="28"/>
        </w:rPr>
        <w:t xml:space="preserve">00186217;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КПП:</w:t>
      </w:r>
      <w:r>
        <w:rPr>
          <w:rFonts w:cs="Times New Roman" w:ascii="Times New Roman" w:hAnsi="Times New Roman"/>
          <w:sz w:val="28"/>
          <w:szCs w:val="28"/>
        </w:rPr>
        <w:t xml:space="preserve"> 352801001;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ОГРН:</w:t>
      </w:r>
      <w:r>
        <w:rPr/>
        <w:t xml:space="preserve"> 1023501236901;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Дата первичной регистрации:</w:t>
      </w:r>
      <w:r>
        <w:rPr>
          <w:rFonts w:cs="Times New Roman" w:ascii="Times New Roman" w:hAnsi="Times New Roman"/>
          <w:sz w:val="28"/>
          <w:szCs w:val="28"/>
        </w:rPr>
        <w:t xml:space="preserve"> 24.09.1993;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Дата присвоения ОГРН:</w:t>
      </w:r>
      <w:r>
        <w:rPr>
          <w:rFonts w:cs="Times New Roman" w:ascii="Times New Roman" w:hAnsi="Times New Roman"/>
          <w:sz w:val="28"/>
          <w:szCs w:val="28"/>
        </w:rPr>
        <w:t xml:space="preserve"> 31.07.2002.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Официальный сайт — </w:t>
      </w:r>
      <w:hyperlink r:id="rId2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https://severstal.com/rus</w:t>
        </w:r>
      </w:hyperlink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1.3. Виды деятельности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виды деятельности</w:t>
      </w:r>
      <w:r>
        <w:rPr>
          <w:rFonts w:cs="Times New Roman" w:ascii="Times New Roman" w:hAnsi="Times New Roman"/>
          <w:sz w:val="28"/>
          <w:szCs w:val="28"/>
        </w:rPr>
        <w:t>[1]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 — Производство чугуна, стали и ферросплавов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Дополнительные виды деятельности</w:t>
      </w:r>
      <w:r>
        <w:rPr>
          <w:rFonts w:cs="Times New Roman" w:ascii="Times New Roman" w:hAnsi="Times New Roman"/>
          <w:sz w:val="28"/>
          <w:szCs w:val="28"/>
        </w:rPr>
        <w:t>[1]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07.10.3 — Обогащение и агломерация железных руд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24.10.3 — Производство листового горячекатаного стального проката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24.10.4 — Производство листового холоднокатаного стального проката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24.10.5 — Производство листового холоднокатаного стального проката с покрытием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24.20 — Производство стальных труб, полых профилей и фитингов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24.33 — Производство профилей с помощью холодной штамповки или гибки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46.72 — Торговля оптовая металлами и металлическими рудами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52.10 — Деятельность по складированию и хранению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71.12 — Деятельность в области инженерно-технического проектирования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72.19 — Научные исследования и разработки в области естественных и технических наук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ПАО «Северсталь» реализует полный производственный цикл - от добычи сырья до его обработки и реализации.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1.4. Основные фонды и физическая схема их расположения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фонды охарактеризованы данными за 2021 год, так как в последующие годы детализированная финансовая отчетность по МСФО в открытом доступе не публиковалась</w:t>
      </w:r>
      <w:r>
        <w:rPr>
          <w:rFonts w:cs="Times New Roman" w:ascii="Times New Roman" w:hAnsi="Times New Roman"/>
          <w:sz w:val="28"/>
          <w:szCs w:val="28"/>
        </w:rPr>
        <w:t>[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>]</w:t>
      </w:r>
      <w:r>
        <w:rPr>
          <w:rFonts w:cs="Times New Roman" w:ascii="Times New Roman" w:hAnsi="Times New Roman"/>
          <w:sz w:val="28"/>
          <w:szCs w:val="28"/>
        </w:rPr>
        <w:t>. Это показано в таблице 1.1.</w:t>
      </w:r>
    </w:p>
    <w:p>
      <w:pPr>
        <w:pStyle w:val="Normal"/>
        <w:spacing w:lineRule="auto" w:line="259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1.1 — основные фонды ПАО «Северсталь»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114"/>
        <w:gridCol w:w="6230"/>
      </w:tblGrid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lang w:eastAsia="en-US" w:bidi="ar-SA"/>
              </w:rPr>
              <w:t>Показатель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Значение, млн. руб.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Основные средства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368222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Запасы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104917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Нематериальные активы</w:t>
            </w:r>
          </w:p>
        </w:tc>
        <w:tc>
          <w:tcPr>
            <w:tcW w:w="623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19854</w:t>
            </w:r>
          </w:p>
        </w:tc>
      </w:tr>
    </w:tbl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Физическая схема расположения.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интегрированном отчете ПАО «Северсталь» и его дочерних предприятий за 2024 год предоставлена карта с расположением ключевых производственных активов компании</w:t>
      </w:r>
      <w:r>
        <w:rPr>
          <w:rFonts w:cs="Times New Roman" w:ascii="Times New Roman" w:hAnsi="Times New Roman"/>
          <w:sz w:val="28"/>
          <w:szCs w:val="28"/>
        </w:rPr>
        <w:t>[4, с.17]</w:t>
      </w:r>
      <w:r>
        <w:rPr>
          <w:rFonts w:cs="Times New Roman" w:ascii="Times New Roman" w:hAnsi="Times New Roman"/>
          <w:sz w:val="28"/>
          <w:szCs w:val="28"/>
        </w:rPr>
        <w:t>. Это показано на рисунке 1.1.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27698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6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Рис.1.1. Расположение ключевых предприятий. 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1.5. Характеристика трудовых ресурсов.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Основные показатели трудовых ресурсов ПАО «Северсталь» за 2022-2024 гг. представлены в таблице 1.2 </w:t>
      </w:r>
      <w:r>
        <w:rPr>
          <w:rFonts w:cs="Times New Roman" w:ascii="Times New Roman" w:hAnsi="Times New Roman"/>
          <w:sz w:val="28"/>
          <w:szCs w:val="28"/>
        </w:rPr>
        <w:t>[2; 3; 4]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259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1.2 — показатели трудовых ресурсов ПАО «Северсталь»</w:t>
      </w:r>
    </w:p>
    <w:tbl>
      <w:tblPr>
        <w:tblW w:w="936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89"/>
        <w:gridCol w:w="1657"/>
        <w:gridCol w:w="1660"/>
        <w:gridCol w:w="1660"/>
        <w:gridCol w:w="1801"/>
      </w:tblGrid>
      <w:tr>
        <w:trPr>
          <w:trHeight w:val="624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lang w:eastAsia="en-US" w:bidi="ar-SA"/>
              </w:rPr>
              <w:t>Показатели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2024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Изменение 2024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/2022</w:t>
            </w:r>
          </w:p>
        </w:tc>
      </w:tr>
      <w:tr>
        <w:trPr>
          <w:trHeight w:val="635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Среднесписочная численность, чел.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49 800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46 113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50 553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+753</w:t>
            </w:r>
          </w:p>
        </w:tc>
      </w:tr>
      <w:tr>
        <w:trPr>
          <w:trHeight w:val="317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 том числе: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-мужчины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35859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33192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36396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+537</w:t>
            </w:r>
          </w:p>
        </w:tc>
      </w:tr>
      <w:tr>
        <w:trPr>
          <w:trHeight w:val="317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-женщины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13941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12921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14157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+216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-руководители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7583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8132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9708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+2125</w:t>
            </w:r>
          </w:p>
        </w:tc>
      </w:tr>
      <w:tr>
        <w:trPr>
          <w:trHeight w:val="317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-инженеры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8238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8802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10474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+2236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-рабочие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29672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30321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32260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+2588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Средняя заработная плата, тыс.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109,3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117,3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144,0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+34,7</w:t>
            </w:r>
          </w:p>
        </w:tc>
      </w:tr>
      <w:tr>
        <w:trPr>
          <w:trHeight w:val="306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Обучение персонала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-доля сотрудников, прошедших обучение, %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80%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95%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88%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+8 п.п.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-расходы на обучение, млн.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230,6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274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452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+221,4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-средняя продолжительность обучения, часов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38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42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-14</w:t>
            </w:r>
          </w:p>
        </w:tc>
      </w:tr>
      <w:tr>
        <w:trPr>
          <w:trHeight w:val="306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Социальная поддержка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-фонд оплаты труда, млрд.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65,4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64,9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87,5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22,1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-расходы на соц. Обеспечение, млрд.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1,85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1,29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3,8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+1,95</w:t>
            </w:r>
          </w:p>
        </w:tc>
      </w:tr>
      <w:tr>
        <w:trPr>
          <w:trHeight w:val="306" w:hRule="atLeast"/>
        </w:trPr>
        <w:tc>
          <w:tcPr>
            <w:tcW w:w="9367" w:type="dxa"/>
            <w:gridSpan w:val="5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Охрана труда</w:t>
            </w:r>
          </w:p>
        </w:tc>
      </w:tr>
      <w:tr>
        <w:trPr>
          <w:trHeight w:val="306" w:hRule="atLeast"/>
        </w:trPr>
        <w:tc>
          <w:tcPr>
            <w:tcW w:w="2589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-расходы на ОТ и ПБ, млрд. руб.</w:t>
            </w:r>
          </w:p>
        </w:tc>
        <w:tc>
          <w:tcPr>
            <w:tcW w:w="1657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3,8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4,1</w:t>
            </w:r>
          </w:p>
        </w:tc>
        <w:tc>
          <w:tcPr>
            <w:tcW w:w="1660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7,1</w:t>
            </w:r>
          </w:p>
        </w:tc>
        <w:tc>
          <w:tcPr>
            <w:tcW w:w="1801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+3,3</w:t>
            </w:r>
          </w:p>
        </w:tc>
      </w:tr>
    </w:tbl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1.6. Входные ресурсы предприятия.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ПАО «Северсталь» представляет собой вертикально-интегрированный горно-металлургический холдинг, который практически полностью обеспечивает себя основными видами первичного сырья за счёт собственных активов. Это позволяет компании минимизировать зависимость от внешних поставщиков и условий рынка и контролировать качество продукции на всех этапах производства.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Все ключевые виды железорудного сырья компания получает от своих горных комбинатов, расположенных в регионах присутствия. Основные объемы добычи и производства представлены на рисунке 1.2 </w:t>
      </w:r>
      <w:r>
        <w:rPr>
          <w:rFonts w:cs="Times New Roman" w:ascii="Times New Roman" w:hAnsi="Times New Roman"/>
          <w:sz w:val="28"/>
          <w:szCs w:val="28"/>
        </w:rPr>
        <w:t>[4, с.17]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25863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86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Рис.1.2. Основные активы дивизиона «Северсталь Ресурс» и объёмы производства сырья в 2024 году.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Несмотря на высокую степень вертикальной интеграции, компания вынуждена привлекать внешних поставщиков для обеспечения следующих ресурсов: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Коксующийся уголь;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Природный газ;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Электроэнергия (частично закупается у внешних поставщиков, частично генерируется на собственных ТЭЦ ЧерМК);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Оборудование, запчасти для ремонта и модернизации, расходные материалы;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5) Ремонт, строительство, </w:t>
      </w:r>
      <w:r>
        <w:rPr>
          <w:rFonts w:cs="Times New Roman" w:ascii="Times New Roman" w:hAnsi="Times New Roman"/>
          <w:sz w:val="28"/>
          <w:szCs w:val="28"/>
          <w:lang w:val="en-US"/>
        </w:rPr>
        <w:t>IT</w:t>
      </w:r>
      <w:r>
        <w:rPr>
          <w:rFonts w:cs="Times New Roman" w:ascii="Times New Roman" w:hAnsi="Times New Roman"/>
          <w:sz w:val="28"/>
          <w:szCs w:val="28"/>
        </w:rPr>
        <w:t xml:space="preserve"> - аутсорсинг.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1.7. Продукты предприятия.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Добытое сырье доставляется на Череповецкий металлургический комбинат, где осуществляется выплавка чугуна и стали, а также выпуск готового проката. Структура производства и основные виды продукции представлены на рисунке 1.3 </w:t>
      </w:r>
      <w:r>
        <w:rPr>
          <w:rFonts w:cs="Times New Roman" w:ascii="Times New Roman" w:hAnsi="Times New Roman"/>
          <w:sz w:val="28"/>
          <w:szCs w:val="28"/>
        </w:rPr>
        <w:t>[4, с. 18]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31769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76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Рис.1.3. Производственные показатели дивизиона «Северсталь Российская сталь» в 2024 году.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2024 году на мощностях дивизиона произведено </w:t>
      </w:r>
      <w:r>
        <w:rPr>
          <w:rFonts w:cs="Times New Roman" w:ascii="Times New Roman" w:hAnsi="Times New Roman"/>
          <w:sz w:val="28"/>
          <w:szCs w:val="28"/>
        </w:rPr>
        <w:t>[4]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Стали — 10,4 млн тонн (включая плоский и сортовой прокат);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Труб большого диаметра — 0,5 млн тонн;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Метизной продукции — 0,4 млн тонн.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Помимо производства металлопроката, компания предоставляет услуги по сервисной обработке металла (резка, гибка, раскрой) в собственных сервисных металлоцентрах, а также осуществляет доставку продукции автомобильным и железнодорожным транспортом.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1.8. Характеристика потребителей продукции и конкурентная среда.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Продукция ПАО «Северсталь» ориентирована на два направления: внутренний Российский рынок и экспорт (в данный момент преимущественно в страны СНГ, Азии и Ближнего Востока).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структуре потребления выделяется несколько основных отраслей: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1) Строительная отрасль. Она потребляет большую часть всей металлопродукции.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Нефтегазовый сектор и энергетика. Основными продуктами в этой отрасли являются трубы большого диаметра, прокат для атомной энергетики.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Транспорт и логистика: железнодорожный транспорт (рельсы, колесные пары), логистическая инфраструктура (складские комплексы, стеллажные системы, грузовые контейнеры, портовое оборудование).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Машиностроение. Использует катанный и оцинкованный прокат, высокопрочную сталь.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Конкурентная среда: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Рынок металлопродукции характеризуется высокой конкуренций как на внутреннем, так и на внешнем рынке.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Основными конкурентами ПАО «Северсталь» являются: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ПАО «НЛМК» - конкурент в сегменте плоского проката;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ПАО «ММК» - конкурент в сортовом и плоском прокате;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ПАО «Мечел» - конкурент в сортовом прокате, метизах и рельсовой продукции;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ПАО «ТМК» - конкурент в трубной продукции, особенно большого диаметра.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Согласно данным интегрированного отчета за 2024 год, доля продукции с высокой добавочной стоимостью в портфеле компании достигла 52%, что позволяет компании конкурировать и держать преимущество в самых маржинальных сегментах рынка </w:t>
      </w:r>
      <w:r>
        <w:rPr>
          <w:rFonts w:cs="Times New Roman" w:ascii="Times New Roman" w:hAnsi="Times New Roman"/>
          <w:sz w:val="28"/>
          <w:szCs w:val="28"/>
        </w:rPr>
        <w:t>[4]</w:t>
      </w:r>
      <w:r>
        <w:rPr>
          <w:rFonts w:cs="Times New Roman" w:ascii="Times New Roman" w:hAnsi="Times New Roman"/>
          <w:sz w:val="28"/>
          <w:szCs w:val="28"/>
        </w:rPr>
        <w:t>. ПАО «Северсталь» занимает устойчивую позицию в ключевых сегментах российского рынка металлопродукции, сохраняя конкурентоспособность за счёт вертикальной интеграции и низкой себестоимости производства.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1.9. Производственные и экономические показатели деятельности.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Основные производственные и финансовые результаты ПАО «Северсталь» за 2022-2024 гг. представлены в таблице 1.3 </w:t>
      </w:r>
      <w:r>
        <w:rPr>
          <w:rFonts w:cs="Times New Roman" w:ascii="Times New Roman" w:hAnsi="Times New Roman"/>
          <w:sz w:val="28"/>
          <w:szCs w:val="28"/>
        </w:rPr>
        <w:t>[2; 3; 4]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tabs>
          <w:tab w:val="clear" w:pos="709"/>
          <w:tab w:val="left" w:pos="0" w:leader="none"/>
        </w:tabs>
        <w:spacing w:lineRule="auto" w:line="360" w:before="0" w:after="160"/>
        <w:ind w:firstLine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1.3 — производственные и финансовые показатели ПАО «Северсталь»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50"/>
        <w:gridCol w:w="1665"/>
        <w:gridCol w:w="1662"/>
        <w:gridCol w:w="1659"/>
        <w:gridCol w:w="1808"/>
      </w:tblGrid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Показатель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2022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2023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2024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Изменение 2024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/2022</w:t>
            </w:r>
          </w:p>
        </w:tc>
      </w:tr>
      <w:tr>
        <w:trPr/>
        <w:tc>
          <w:tcPr>
            <w:tcW w:w="9344" w:type="dxa"/>
            <w:gridSpan w:val="5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Производственные показатели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Производство стали, млн тонн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10,7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11,27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10,38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-0,32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Производство чугуна, млн тонн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11,0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11,3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10,03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-0,97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Продажи металлопродукции, млн тонн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10,9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10,73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10,85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-0,05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Доля продукции с ВДС, %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49%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52%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+3 п.п.</w:t>
            </w:r>
          </w:p>
        </w:tc>
      </w:tr>
      <w:tr>
        <w:trPr/>
        <w:tc>
          <w:tcPr>
            <w:tcW w:w="9344" w:type="dxa"/>
            <w:gridSpan w:val="5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Финансовые показатели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Выручка, млрд руб.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682,2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728,3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829,8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+147,6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EBITDA, млрд руб.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214,3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262,2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237,9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+23,6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Чистая прибыль, млрд руб.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108,4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193,9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149,6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+41,2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Капитальные затраты (CAPEX), млрд руб.</w:t>
            </w:r>
          </w:p>
        </w:tc>
        <w:tc>
          <w:tcPr>
            <w:tcW w:w="1665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67,9</w:t>
            </w:r>
          </w:p>
        </w:tc>
        <w:tc>
          <w:tcPr>
            <w:tcW w:w="1662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72,6</w:t>
            </w:r>
          </w:p>
        </w:tc>
        <w:tc>
          <w:tcPr>
            <w:tcW w:w="165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118,5</w:t>
            </w:r>
          </w:p>
        </w:tc>
        <w:tc>
          <w:tcPr>
            <w:tcW w:w="180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+50,6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Производственные показатели </w:t>
      </w:r>
      <w:r>
        <w:rPr>
          <w:rFonts w:cs="Times New Roman" w:ascii="Times New Roman" w:hAnsi="Times New Roman"/>
          <w:sz w:val="28"/>
          <w:szCs w:val="28"/>
        </w:rPr>
        <w:t>[2; 3]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2023 году компания восстановила объемы производства после серьезного спада в 2022 году, вызванного геополитическими факторами и нарушением поставок и отгрузок. Производство стали выросло на 5% относительно 2022 года, достигнув 11,27 млн тонн. Однако в 2024 году произошло снижение объемов выплавки чугуна на 11% и стали на 8% к 2023 году. Данная динамика обусловлена капитальным ремонтом печи №4(ДП-4) «Вологжанка» на Череповецком металлургическом комбинате.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Несмотря на снижение объёмов производства, продажи остались на стабильном уровне к 2024 году, что говорит об эффективном управлении и хорошо выстроенному сбыту. Позитивным фактором в плохой ситуации стал рост доли продукции с высокой добавочной стоимости с 49% в 2023 году до 52% в 2024 году. Это отражает стремление компании в сторону высокомаржинальных продуктов.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Финансовые показатели </w:t>
      </w:r>
      <w:r>
        <w:rPr>
          <w:rFonts w:cs="Times New Roman" w:ascii="Times New Roman" w:hAnsi="Times New Roman"/>
          <w:sz w:val="28"/>
          <w:szCs w:val="28"/>
        </w:rPr>
        <w:t>[2; 3; 4]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Выручка компании демонстрирует положительную динамику на протяжении рассматриваемого периода: рост составил на 7% в 2023 году и 14% в 2024 году. По итогам 2024 года выручка достигла 829,9 млрд. рублей, что на 147,6 млрд. рублей превышает уровень 2022 года. Основной причиной роста стали переориентация компании на внутренний рынок и увеличение доли продукции с высокой добавочной стоимости.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Показатель </w:t>
      </w:r>
      <w:r>
        <w:rPr>
          <w:rFonts w:cs="Times New Roman" w:ascii="Times New Roman" w:hAnsi="Times New Roman"/>
          <w:sz w:val="28"/>
          <w:szCs w:val="28"/>
          <w:lang w:val="en-US"/>
        </w:rPr>
        <w:t>EBITDA</w:t>
      </w:r>
      <w:r>
        <w:rPr>
          <w:rFonts w:cs="Times New Roman" w:ascii="Times New Roman" w:hAnsi="Times New Roman"/>
          <w:sz w:val="28"/>
          <w:szCs w:val="28"/>
        </w:rPr>
        <w:t xml:space="preserve"> вырос в 2023 году до 262,2 млрд. рублей, что на 22% больше результатов 2022 года, однако в 2024 году снизился до 237,9 млрд. рублей. Негативная динамика связана с опережающим ростом себестоимости производства вследствие увеличения цен на товары и услуги, роста фонда оплаты труда, приобретение новых активов.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Чистая прибыль компании в 2023 году продемонстрировала почти двукратный рост в 79% к 2022 году, что связано с восстановлением объемов производства. В 2024 году показатель снизился до 149,6 млрд. рублей, что коррелирует с динамикой </w:t>
      </w:r>
      <w:r>
        <w:rPr>
          <w:rFonts w:cs="Times New Roman" w:ascii="Times New Roman" w:hAnsi="Times New Roman"/>
          <w:sz w:val="28"/>
          <w:szCs w:val="28"/>
          <w:lang w:val="en-US"/>
        </w:rPr>
        <w:t>EBITDA</w:t>
      </w:r>
      <w:r>
        <w:rPr>
          <w:rFonts w:cs="Times New Roman" w:ascii="Times New Roman" w:hAnsi="Times New Roman"/>
          <w:sz w:val="28"/>
          <w:szCs w:val="28"/>
        </w:rPr>
        <w:t>, увеличением капитальных затрат и ростом налоговой нагрузки.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анализа долговой нагрузки был рассчитан показатель «долг/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». Показатель 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 рассчитан как </w:t>
      </w:r>
      <w:r>
        <w:rPr>
          <w:rFonts w:cs="Times New Roman" w:ascii="Times New Roman" w:hAnsi="Times New Roman"/>
          <w:sz w:val="28"/>
          <w:szCs w:val="28"/>
          <w:lang w:val="en-US"/>
        </w:rPr>
        <w:t>EBITDA</w:t>
      </w:r>
      <w:r>
        <w:rPr>
          <w:rFonts w:cs="Times New Roman" w:ascii="Times New Roman" w:hAnsi="Times New Roman"/>
          <w:sz w:val="28"/>
          <w:szCs w:val="28"/>
        </w:rPr>
        <w:t xml:space="preserve"> за вычетом амортизации. Данные по амортизации приняты на уровне 40 млрд. рублей ежегодно на основе показателя 2021 года, так как в отчётах за 2022 – 2024 гг. эта цифра не была раскрыта. Это показано в таблице 1.4 </w:t>
      </w:r>
      <w:r>
        <w:rPr>
          <w:rFonts w:cs="Times New Roman" w:ascii="Times New Roman" w:hAnsi="Times New Roman"/>
          <w:sz w:val="28"/>
          <w:szCs w:val="28"/>
        </w:rPr>
        <w:t>[2; 3; 4]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tabs>
          <w:tab w:val="clear" w:pos="709"/>
          <w:tab w:val="left" w:pos="0" w:leader="none"/>
          <w:tab w:val="left" w:pos="113" w:leader="none"/>
        </w:tabs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1.4 — анализ долговой нагрузки ПАО «Северсталь»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68"/>
        <w:gridCol w:w="1869"/>
        <w:gridCol w:w="1869"/>
        <w:gridCol w:w="1869"/>
        <w:gridCol w:w="1869"/>
      </w:tblGrid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Показатель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2022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2023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2024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Изменение 2024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/2022</w:t>
            </w:r>
          </w:p>
        </w:tc>
      </w:tr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Совокупный долг, млрд. руб.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163,1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108,5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134,9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-28,2</w:t>
            </w:r>
          </w:p>
        </w:tc>
      </w:tr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EBIT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, млрд. руб.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174,3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222,2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197,9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+23,6</w:t>
            </w:r>
          </w:p>
        </w:tc>
      </w:tr>
      <w:tr>
        <w:trPr/>
        <w:tc>
          <w:tcPr>
            <w:tcW w:w="1868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Отношение Долг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/EBIT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0,94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0,49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0,68</w:t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-0,26</w:t>
            </w:r>
          </w:p>
        </w:tc>
      </w:tr>
    </w:tbl>
    <w:p>
      <w:pPr>
        <w:pStyle w:val="Normal"/>
        <w:spacing w:lineRule="auto" w:line="360"/>
        <w:ind w:hanging="0" w:star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 видно из таблицы 1.4. показатель «Долг/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» на протяжении всего периода находится на довольно низком уровне, что говорит о небольшой долговой нагрузке, что в период высокой ключевой ставки является хорошим показателем. В 2022 году значение показателя составило 0,94, что связано с увеличением совокупного долга. В 2023 году наблюдается снижение показателя до 0,49 благодаря росту </w:t>
      </w:r>
      <w:r>
        <w:rPr>
          <w:rFonts w:cs="Times New Roman" w:ascii="Times New Roman" w:hAnsi="Times New Roman"/>
          <w:sz w:val="28"/>
          <w:szCs w:val="28"/>
          <w:lang w:val="en-US"/>
        </w:rPr>
        <w:t>EBIT</w:t>
      </w:r>
      <w:r>
        <w:rPr>
          <w:rFonts w:cs="Times New Roman" w:ascii="Times New Roman" w:hAnsi="Times New Roman"/>
          <w:sz w:val="28"/>
          <w:szCs w:val="28"/>
        </w:rPr>
        <w:t xml:space="preserve"> и сокращению долга. В 2024 году показатель вырос до 0,68, что обусловлено увеличением долго для инвестиционной программы.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Несмотря на снижение производственных показателей в 2024 году из-за крупного ремонта, компания сохранила финансовую устойчивость. Рост выручки и доли продуктов с высокой добавочной стоимостью говорит об успешной адаптации бизнеса к текущим сложным рыночным условиям и тяжелой геополитической обстановкой.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1.10. Организационная структура предприятия и физическая схема их расположения.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На рисунке 1.4 представлена организационная структура управления ПАО «Северсталь», построенная на основе анализа данных Интегрированного отчета компании за 2024 год </w:t>
      </w:r>
      <w:r>
        <w:rPr>
          <w:rFonts w:cs="Times New Roman" w:ascii="Times New Roman" w:hAnsi="Times New Roman"/>
          <w:sz w:val="28"/>
          <w:szCs w:val="28"/>
        </w:rPr>
        <w:t>[4]</w:t>
      </w:r>
      <w:r>
        <w:rPr>
          <w:rFonts w:cs="Times New Roman" w:ascii="Times New Roman" w:hAnsi="Times New Roman"/>
          <w:sz w:val="28"/>
          <w:szCs w:val="28"/>
        </w:rPr>
        <w:t>. Данная структура отражает иерархию подчинения от высших органов управления до ключевых производственных и функциональных подразделений.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4476750" cy="8343900"/>
            <wp:effectExtent l="0" t="0" r="0" b="0"/>
            <wp:docPr id="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34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Рис.1.4. Организационная структура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1.11. Стандарты оперативного, среднесрочного, стратегического управления предприятием.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Стратегическое управление в ПАО «Северсталь» реализуется через систему долгосрочного планирования, ключевым документом которой является Стратегия развития компании на 2024–2028 годы. В отчетном году компания представила обновленную стратегию, сохранив ее фундаментальные принципы, но дополнив новыми элементами. Стратегия определяет пять ключевых элементов </w:t>
      </w:r>
      <w:r>
        <w:rPr>
          <w:rFonts w:cs="Times New Roman" w:ascii="Times New Roman" w:hAnsi="Times New Roman"/>
          <w:sz w:val="28"/>
          <w:szCs w:val="28"/>
        </w:rPr>
        <w:t>[4, с. 15-16]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Лидер безопасности труда и экологии - сохранение жизни и здоровья сотрудников и жителей регионов, соблюдение законодательства. Ключевые метрики: ноль смертельных случаев, показатель LTIFR среди сотрудников &lt;0,45, снижение выбросов загрязняющих веществ на 46%.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Лидер качества жизни сотрудников - быть надежным работодателем, который ценит каждого сотрудника и заботится о нем и его близких. Ключевая метрика - работодатель в регионах присутствия №1.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Лидер в работе с клиентами - первыми приходить на ум, когда речь идет о металлопродукции. Ключевая метрика - доля рынка в РФ в ключевых сегментах 20%.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Лидер в цифровых технологиях - создание преимущества перед конкурентами как в работе на рынках, так и в повышении эффективности. Ключевая метрика - повышение производительности труда, создание дополнительного источника EBITDA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Лидер по себестоимости - укрепление мирового лидерства по себестоимости экологичным способом. Ключевая метрика - обеспечение отрыва по сквозной себестоимости конвертерного сляба от ближайшего конкурента на 15%.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Разработка и утверждение стратегии находятся в компетенции Совета директоров, который рассматривает отчеты о ее реализации и при необходимости корректирует целевые показатели.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Среднесрочное управление охватывает планирование от одного до трёх лет. В рамках планирования компания утверждает целевые экологические программы, направленные на снижение воздействия на окружающую среду и распределение финансирования по годам </w:t>
      </w:r>
      <w:r>
        <w:rPr>
          <w:rFonts w:cs="Times New Roman" w:ascii="Times New Roman" w:hAnsi="Times New Roman"/>
          <w:sz w:val="28"/>
          <w:szCs w:val="28"/>
        </w:rPr>
        <w:t>[4, с.70-75]</w:t>
      </w:r>
      <w:r>
        <w:rPr>
          <w:rFonts w:cs="Times New Roman" w:ascii="Times New Roman" w:hAnsi="Times New Roman"/>
          <w:sz w:val="28"/>
          <w:szCs w:val="28"/>
        </w:rPr>
        <w:t>. Ответственность за исполнение среднесрочных планов несут руководители дивизионов и дирекций.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Оперативное планирование на предприятии представляет собой систему управления на горизонте года с детализацией до квартала, месяца, недели и смены, цель которой - обеспечить выполнение производственных и сбытовых задач при соблюдении бюджетных ограничений и требований по безопасности. В рамках оперативного планирования утверждается годовой бюджет и годовые целевые показатели, после чего формируются календарные планы производства и отгрузок, графики ремонтов и остановок оборудования, планы закупок и снабжения, а также логистические планы по перевозкам и складированию </w:t>
      </w:r>
      <w:r>
        <w:rPr>
          <w:rFonts w:cs="Times New Roman" w:ascii="Times New Roman" w:hAnsi="Times New Roman"/>
          <w:sz w:val="28"/>
          <w:szCs w:val="28"/>
        </w:rPr>
        <w:t>[4, с.29, 95-96, 144-146]</w:t>
      </w:r>
      <w:r>
        <w:rPr>
          <w:rFonts w:cs="Times New Roman" w:ascii="Times New Roman" w:hAnsi="Times New Roman"/>
          <w:sz w:val="28"/>
          <w:szCs w:val="28"/>
        </w:rPr>
        <w:t>. Далее управление строится как регулярный цикл контроля исполнения, а итогом является обеспечение выполнения годовых целей и поддержание устойчивости процессов при изменении внешних условий.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Деятельность ПАО «Северсталь» в области качества, охраны труда и устойчивого развития регламентируется совокупностью международных стандартов менеджмента, внедрённых на предприятиях компании. На производственных и обеспечивающих процессах действует система менеджмента качества, соответствующая требованиям стандарта ISO 9001:2015; для автомобильной промышленности используется отраслевой стандарт IATF 16949:2016, а для железнодорожной отрасли – стандарт ISO 22163:2023, применяемый к профильным видам продукции и активам. В области охраны труда и промышленной безопасности функционирует система менеджмента, сертифицированная по стандарту ISO 45001, которая охватывает ключевые производственные площадки и связывается с целевыми показателями по снижению травматизма в рамках стратегии компании на 2024–2028 годы [4, с. 15–16, 32–34, 95–96, 144–146].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система управления ПАО «Северсталь» представляет собой трехуровневую иерархию (стратегический – среднесрочный – оперативный), подкрепленную международными стандартами менеджмента, что обеспечивает устойчивое развитие компании и достижение поставленных целей.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1.12.</w:t>
      </w:r>
      <w:r>
        <w:rPr>
          <w:b/>
          <w:bCs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Логическая и физическая схема компьютерной сети предприятия.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обеспечения бесперебойной работы распределенных производственных и управляющих структур ПАО «Северсталь» используется многоуровневая корпоративная сеть передачи данных. Сеть построена по иерархическому принципу с выделением центрального узла (ЦОД в Москве) и резервного центра (г. Череповец). Логическая структура сети обеспечивает сегментацию корпоративных и промышленных сетей, а также защищенный доступ для удаленных сотрудников через VPN. На основе общих принципов построения </w:t>
      </w:r>
      <w:r>
        <w:rPr>
          <w:rFonts w:cs="Times New Roman" w:ascii="Times New Roman" w:hAnsi="Times New Roman"/>
          <w:sz w:val="28"/>
          <w:szCs w:val="28"/>
        </w:rPr>
        <w:t xml:space="preserve">корпоративных сетей и данных Интегрированного отчета ПАО «Северсталь» </w:t>
      </w:r>
      <w:r>
        <w:rPr>
          <w:rFonts w:cs="Times New Roman" w:ascii="Times New Roman" w:hAnsi="Times New Roman"/>
          <w:sz w:val="28"/>
          <w:szCs w:val="28"/>
        </w:rPr>
        <w:t xml:space="preserve">за 2024 год </w:t>
      </w:r>
      <w:r>
        <w:rPr>
          <w:rFonts w:cs="Times New Roman" w:ascii="Times New Roman" w:hAnsi="Times New Roman"/>
          <w:sz w:val="28"/>
          <w:szCs w:val="28"/>
        </w:rPr>
        <w:t xml:space="preserve">[4] </w:t>
      </w:r>
      <w:r>
        <w:rPr>
          <w:rFonts w:cs="Times New Roman" w:ascii="Times New Roman" w:hAnsi="Times New Roman"/>
          <w:sz w:val="28"/>
          <w:szCs w:val="28"/>
        </w:rPr>
        <w:t xml:space="preserve">показана логическая схема компьютерной сети ПАО «Северсталь» на рисунке </w:t>
      </w:r>
      <w:r>
        <w:rPr>
          <w:rFonts w:cs="Times New Roman" w:ascii="Times New Roman" w:hAnsi="Times New Roman"/>
          <w:sz w:val="28"/>
          <w:szCs w:val="28"/>
        </w:rPr>
        <w:t>1.5.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010025" cy="67818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781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Рис.1.5. Логическая схема компьютерной сети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1.13. Состав и структура действующей информационной системы.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ПАО «Северсталь» функционирует комплексная информационная система, построенная модульно и охватывающая все уровни управления. Информационная система включает несколько взаимосвязанных подсистем, обеспечивающих автоматизацию различных направлений деятельности компании [4, с. 52–54].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Корпоративные системы. Основу информационной системы составляют системы управления ресурсами предприятия, которые объединяют данные о финансах, производстве, закупках и сбыте. Для взаимодействия с поставщиками используется единая автоматизированная система управления закупками, обеспечивающая контроль исполнения договоров и учет взаиморасчетов с контрагентами [4, с. 58–60]. Для обработки данных и поддержки принятия решений применяются системы бизнес-аналитики, позволяющие формировать отчетность в режиме реального времени [4, с. 58–62].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Производственные системы. Управление технологическими процессами производится с помощью автоматизированных систем управления и диспетчерских систем сбора данных, которые обеспечивают точный контроль за работой оборудования в доменном, сталеплавильном и прокатном производствах. Для управления производственными задачами в цехах используются системы управления производственными процессами [4, с. 60–62].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Контроль качества: внедрены автоматизированные системы, контролирующие качество выпускаемой продукции, а также компьютерное зрение для выявления брака на этапе производства [3, с. 56–59].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координации проектной деятельности в компании используются системы управления проектами, которые позволяют удобно вести несколько проектов одновременно, отслеживать выполнение задач, учитывать временные затраты каждого сотрудника [3, с. 92–95].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Управление охраной труда. В компании действует комплекс для контроля охраны труда. Он обеспечивает управление происшествиями, безопасностью рабочих [4, с. 146].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Клиентские сервисы. Для взаимодействия с заказчиками существует мобильное приложение Checksteel. Оно обеспечивает контроль качества продукции и делает удобным взаимодействие с конечным покупателем </w:t>
      </w:r>
      <w:r>
        <w:rPr>
          <w:rFonts w:cs="Times New Roman" w:ascii="Times New Roman" w:hAnsi="Times New Roman"/>
          <w:sz w:val="28"/>
          <w:szCs w:val="28"/>
        </w:rPr>
        <w:t>[4, с. 82]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Информационная безопасность. Защита информации обеспечивается межсетевыми экранами, системами обнаружения вторжений и предотвращения утечек данных. Это было показано в логической схеме компьютерной сети предприятия [3, с. 49–50].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1.14. Актуальные проблемы и новые проекты предприятия.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Ключевыми проблемами, выделенными ПАО «Северсталь» в отчетах являются дефицит квалифицированных кадров в регионах пребывания, необходимость импортозамещения технологий, рост кибератак на предприятие и конкретных сотрудников, производственный травматизм [4, с. 15, 44–48].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решения этих проблем компания реализует множество проектов в различных направлениях ее деятельности.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Так, в производственной сфере ключевым является строительство комплекса по производству железорудных окатышей на ЧерМК – запуск планируется в 2026 году, а также капитальный ремонт доменной печи №5 [4, с. 29, 176–179].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экологической сфере «Северсталь» снижает выбросы в атмосферу, реализует проекты по повышению энергоэффективности и созданию карбоновых полигонов [4, с. 1</w:t>
      </w:r>
      <w:r>
        <w:rPr>
          <w:rFonts w:cs="Times New Roman" w:ascii="Times New Roman" w:hAnsi="Times New Roman"/>
          <w:sz w:val="28"/>
          <w:szCs w:val="28"/>
        </w:rPr>
        <w:t>83</w:t>
      </w:r>
      <w:r>
        <w:rPr>
          <w:rFonts w:cs="Times New Roman" w:ascii="Times New Roman" w:hAnsi="Times New Roman"/>
          <w:sz w:val="28"/>
          <w:szCs w:val="28"/>
        </w:rPr>
        <w:t>–</w:t>
      </w:r>
      <w:r>
        <w:rPr>
          <w:rFonts w:cs="Times New Roman" w:ascii="Times New Roman" w:hAnsi="Times New Roman"/>
          <w:sz w:val="28"/>
          <w:szCs w:val="28"/>
        </w:rPr>
        <w:t>187, 199-203</w:t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Также в цифровой сфере и кибербезопасности разрабатывается платформа для управления производственными процессами «Металлургия», внедряются системы искусственного интеллекта и компьютерного зрения для контроля качества и безопасности. Для защиты от киберугроз действуют межсетевые экраны, системы обнаружения вторжений и предотвращения утечек данных, позволяющие ежемесячно отражать тысячи кибератак [4, с. 52–54, 58–66].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области охраны труда действует комплекс «Контроль охраны труда», который охватывает более 37 тысяч сотрудников [4, с. 14</w:t>
      </w:r>
      <w:r>
        <w:rPr>
          <w:rFonts w:cs="Times New Roman" w:ascii="Times New Roman" w:hAnsi="Times New Roman"/>
          <w:sz w:val="28"/>
          <w:szCs w:val="28"/>
        </w:rPr>
        <w:t>2</w:t>
      </w:r>
      <w:r>
        <w:rPr>
          <w:rFonts w:cs="Times New Roman" w:ascii="Times New Roman" w:hAnsi="Times New Roman"/>
          <w:sz w:val="28"/>
          <w:szCs w:val="28"/>
        </w:rPr>
        <w:t xml:space="preserve">–146].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Анализ проблем и текущих проектов ПАО «Северсталь» показывает, что две ключевые угрозы компании – кибербезопасность и охрана труда. Они всегда зависят от уровня осведомленности сотрудников и человеческого фактора. Компания официально признает проблемы: в отчетах за 2022 и 2023 годы имели место смертельные случаи на производстве, а количество отражаемых кибератак – более 3000 ежемесячно </w:t>
      </w:r>
      <w:r>
        <w:rPr>
          <w:rFonts w:cs="Times New Roman" w:ascii="Times New Roman" w:hAnsi="Times New Roman"/>
          <w:sz w:val="28"/>
          <w:szCs w:val="28"/>
        </w:rPr>
        <w:t>[2; 3]</w:t>
      </w:r>
      <w:r>
        <w:rPr>
          <w:rFonts w:cs="Times New Roman" w:ascii="Times New Roman" w:hAnsi="Times New Roman"/>
          <w:sz w:val="28"/>
          <w:szCs w:val="28"/>
        </w:rPr>
        <w:t xml:space="preserve">. Существующие системы позволяют фиксировать нарушения и отражать атаки, однако они ориентированы на реагирование на уже произошедший инцидент, а не на профилактику для сотрудников. Это подтверждает необходимость разработки инструментов, направленных на повышении компетенции сотрудников в сфере кибербезопасности и охраны труда, чтобы предотвращать нарушения еще на этапе обучения.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</w:t>
        <w:tab/>
        <w:t>Реинжиниринг бизнес-процессов предприятия и стандарт управления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2.1.</w:t>
      </w:r>
      <w:r>
        <w:rPr/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Цели, принципы, методы и инструменты реинжиниринга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Неотъемлемым требованием проектирования информационной системы является предварительное моделирование и оптимизация бизнес-процессов – реинжиниринг для уже существующих предприятий. Реинжиниринг бизнес-процессов представляет собой перестройку, перепроектирование бизнес-процессов с целью совершенствования деятельности предприятия, организации. Это фундаментальное переосмысление и радикальное перепроектирование бизнес-процессов для достижения существенных улучшений в ключевых показателях результативности.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Основной целью реинжиниринга бизнес-процессов предприятий является проектирование такой системы управления процессами предприятия, которая обеспечивает разработку стандарта управления. Стандарт управления предприятием представляет собой документированную процедуру решения бизнес-задач и включает в себя технологию управления, правила и законы принятия решений. Этот стандарт определяет положения стандартов оперативного, среднесрочного, стратегического управления и менеджмента качества на предприятии.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Бизнес-процесс – это сегмент деятельности предприятия, формирующий поток создания стоимости и обладающий восемью свойствами.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Бизнес-задача – это уникальный элемент бизнес-процесса, создающий бизнес-продукт и обладающий теми же восемью свойствами.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Бизнес-продукт – материальный или информационный продукт в деятельности предприятия как результат решения бизнес-задачи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основе реинжиниринга лежит процессно-ориентированная концепция бизнеса, базирующаяся на следующих ключевых положениях: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Предприятие или бизнес представляет систему последовательно-параллельно взаимосвязанных бизнес-процессов, бизнес-процессы представляют систему последовательно-параллельно взаимосвязанных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Любой бизнес-процесс, бизнес-задача имеют входной поток используемых ресурсов (материальных, информационных, трудовых и др.).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Каждый бизнес-процесс, бизнес-задача имеют свои внутренние правила, алгоритмы, законы и технологию преобразования входов в выходы.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Бизнес-процесс, бизнес-задача имеют выходной продукт (поток).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Связи между бизнес-процессами реализуются как связи между бизнес-задачами.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6) Бизнес-процесс, бизнес-задача имеют свою систему показателей эффективности. Эти показатели эффективности характеризуют выходные их продукты.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7) Бизнес-процесс, бизнес-задача имеют исполнителя, владельца.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Процессно-задачный подход при выделении бизнес-процессов и бизнес-задач использует следующие принципы: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Полноты состава бизнес-процессов,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Детерминированности содержания каждого бизнес-процесса, бизнес-задачи.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Нормализованности - отсутствии пересечения задач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Связанности бизнес-процессов и бизнес-задач, то есть наличие у них не менее одной связи с другими бизнес-процессами, бизнес-задачами.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Автономности - логической завершенности бизнес-процесса, бизнес-задачи.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6) Ресурсоемкости - наличия входных ресурсов.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7) Продуктивности - наличия выходного продукта.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8) Динамичности - зависимости входных ресурсов, внутренних правил, алгоритмов, законов и технологий, следовательно, и выходного продукта от времени.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Бизнес-задачи классифицируются на четыре основных класса: аналитические – создают план; организационные; технические – создают продукты; учетные – фиксируют объемы производства.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Бизнес-процессы, существующие на предприятии, делятся на три группы: основные, вспомогательные и процессы управления. Типовой состав бизнес-процессов предприятия включает: подготовку производства, основное и вспомогательное производство, материально-техническое обеспечение, маркетинг, сбыт, финансы, бухгалтерский учет, обеспечение трудовыми ресурсами, энергетическое и транспортное обеспечение, ремонтное обеспечение, информационное обеспечение и управление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Основные этапы реинжиниринга бизнес-процессов для создания стандартов управления включают: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Определение цели, задач и состава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Классификация задач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Определение исполнителей 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Построение организационно-логической сущности бизнес-процессов, отражающей логические и временные связи 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5) Создание продуктовой модели бизнес-процессов и схемы информационных потоков.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6) Разработка алгоритмов и методов решения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7) Определение показателей эффективности бизнес-процессов и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8) Разработка стандартов решения бизнес-задач и стандартов управления бизнес-процессами.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соответствии с изложенной методологией, во второй главе данной работы будет проведен реинжиниринг бизнес-процессов ПАО «Северсталь», определен их состав, выполнена классификация задач и построены необходимые модели.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2.2. Бизнес-процессы предприятия, их цели, описание, владельцы и целевые бизнес-продукты.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В таблице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2.1 представлен типовой состав основных бизнес-процессов ПАО «Северсталь», выделенных на основе перечня [6] и адаптированных под организационную структуру компании.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2.1 — б</w:t>
      </w:r>
      <w:r>
        <w:rPr>
          <w:rFonts w:ascii="Times New Roman" w:hAnsi="Times New Roman"/>
          <w:sz w:val="28"/>
          <w:szCs w:val="28"/>
        </w:rPr>
        <w:t>изнес-процессы предприятия, их цели, описание, владельцы и целевые бизнес-продукты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50"/>
        <w:gridCol w:w="2222"/>
        <w:gridCol w:w="1838"/>
        <w:gridCol w:w="1812"/>
        <w:gridCol w:w="2622"/>
      </w:tblGrid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№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Наименование БП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Кол-во и наименование подпроцессов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Владелец процесса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Цели, целевые продукты, описание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производства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Дирекция по техническому развитию и качеству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Обеспечивает развитие производства, улучшение качества выпускаемой продукции, внедрение новых технологий. Результатом является готовая к запуску технология или новый вид продукции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Конструкторская подготовка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конструкторской документации на новую продукцию, патентование изобретений, конструирование образцов. Результатом являются патенты, конструкторская документация.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Технологическая подготовка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технологических маршрутов производства, нормирование расхода материалов, подготовка технологических карт. Результатом является технологическая документация.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Техническая подготовка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и модернизация производственного оборудования, монтаж новых технологических линий. Результатом являются готовые к эксплуатации производственные мощности.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Основное производство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дивизиона «Северсталь Российская сталь» / Директор дивизиона «Северсталь Ресурс»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Данный процесс направлен на реализацию производственной программы в части добычи сырья и производства металлопродукции. Результирующим продуктом является готовая металлопродукция: чугун, сталь, прокат, трубы и метизы.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Сегмент основного производства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Добыча железной руды, производство железорудного концентрата, выплавка чугуна и стали на ЧерМК, производство проката, труб, метизной продукции.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Вспомогательное производство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Главный инженер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Обеспечивает бесперебойную работу производства.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Техническое обслуживание и ремонт оборудования, зданий и сооружений производства.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Энергетическое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Выработка и распределение электроэнергии, контроль за работой собственных ТЭЦ для достижения 95% генерации электроэнергии к 2030 году.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Транспортное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Перевозки сырья и доставка готовой продукции конечному потребителю, управление транспортным потоком.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3.4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экологической безопасности и охрана окружающей среды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выбросов и сбросов, снижение негативного воздействия на окружающую среду, обеспечение экологических стандартов производства.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Материально-техническое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закупкам и логистике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Своевременное обеспечение производства сырьем, материалами и необходимым оборудованием.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складских запасов (закупочная, транспортная и складская логистика)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Поиск и подбор выгодных поставщиков, проведение тендеров, заключение договоров, контроль поставок.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ресурсами рабочих мест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Доставка материальных ресурсов на склады, учёт движения материалов, нормирование и инвентаризация складских запасов.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5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Маркетинг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маркетингу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Повышение узнаваемости бренда, реклама, изучение потребительского рынка.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5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Целевые сегменты рынка сбыта (покупателей)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Сегментирование рынка продукции, анализ рыночных тенденций, мониторинг конкурентов.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Продвижение продукции на целевых сегментах рынка сбыта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и проведение рекламных кампаний, участие в выставках и конференциях, анализ эффективности рекламы.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Сбыт и сервисное обслуживание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продажам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Реализация продукции и обеспечение гарантийным и постгарантийным обслуживанием покупателей.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Сбыт продукции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плана продаж, обработка заказов клиентов, заключение договоров, оформление отгрузочных документов.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Сервисное обслуживание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 xml:space="preserve">Работа с клиентами через приложение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Checksteel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, оформление претензионного обращения с минимальным документооборотом, мониторинг статуса заказа через личный кабинет.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Финансы и бухгалтерский учет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Заместитель генерального директора по финансам и экономике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финансовой стабильности, прогнозируемости, учет активов и контроль за ними.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Финансовое планирование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Составление бюджетов организации, управление денежными потоками, инвестиционное планирование.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Бухгалтерский учет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хозяйственных операций, расчет себестоимости, подготовка отчетности по МСФО, учёт основных средств и амортизации.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Налоговый учет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уплата налогов, взаимодействие с федеральной налоговой службой.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трудовыми ресурсами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Директор по работе с персоналом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квалифицированным персоналом и безопасными условиями труда для него.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Кадровое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потребности в персонале, поиск и подбор кандидатов, оформление приёма на работу, организация адаптации новых сотрудников.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Обучение и повышение квалификации работников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Выявление потребности в обучении, планирование и организация обучающих мероприятий, оценка эффективности обучения.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Охрана труда, обеспечение условий деятельности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инструктажей по охране труда, контроль соблюдения норм безопасности, расследование несчастных случаев на производстве.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Информационное обеспечение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ИТ-директор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Развитие ИТ-инфраструктуры и защита корпоративной информации. Результатом являются работоспособные корпоративные системы (ERP, SRM) и защищённая информационная среда.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информационными ресурсами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развития ИТ-инфраструктуры, администрирование серверов и сетей, поддержка пользователей, разработка и сопровождение ПО.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информационной безопасности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Управление доступом к информации, мониторинг угроз информационной безопасности, расследование инцидентов ИБ.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Управление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Генеральный директор</w:t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стратегии развития и достижение поставленной цели и задач.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Стратегическое управление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Определение приоритетов развития до 2028 года.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Среднесрочное планирование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на 1-3 года на всех БП.</w:t>
            </w:r>
          </w:p>
        </w:tc>
      </w:tr>
      <w:tr>
        <w:trPr/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10.3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Оперативное управление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</w:r>
          </w:p>
        </w:tc>
        <w:tc>
          <w:tcPr>
            <w:tcW w:w="2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 xml:space="preserve">Управление на горизонте в 1 год, контроль за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KPI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, управление рисками.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2.3. Бизнес-задачи и их исполнители, классификация.</w:t>
      </w:r>
    </w:p>
    <w:p>
      <w:pPr>
        <w:pStyle w:val="Normal"/>
        <w:spacing w:lineRule="auto" w:line="360" w:before="0" w:after="160"/>
        <w:ind w:firstLine="709"/>
        <w:jc w:val="both"/>
        <w:rPr>
          <w:rFonts w:ascii="Times New Roman" w:hAnsi="Times New Roman" w:cs="Times New Roman"/>
          <w:sz w:val="28"/>
          <w:szCs w:val="28"/>
        </w:r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Times New Roman" w:ascii="Times New Roman" w:hAnsi="Times New Roman"/>
          <w:sz w:val="28"/>
          <w:szCs w:val="28"/>
        </w:rPr>
        <w:t>В результате декомпозиции бизнес-процессов, выделенных в пункте 2.2, определён состав бизнес-задач, решаемых в ПАО «Северсталь». Для каждой задачи установлен исполнитель и выполнена классификация. Классы задач: А — аналитические, О — организационные, Т — технологические, У — учётные. Состав задач представлен в таблице 2.2, сформированной на основе типового перечня [6] и адаптированной под организационную структуру и специфику деятельности компании.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2.2 – Бизнес-задачи и их исполнители, классификация</w:t>
      </w:r>
    </w:p>
    <w:tbl>
      <w:tblPr>
        <w:tblW w:w="14251" w:type="dxa"/>
        <w:jc w:val="start"/>
        <w:tblInd w:w="6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49"/>
        <w:gridCol w:w="6801"/>
        <w:gridCol w:w="3263"/>
        <w:gridCol w:w="2838"/>
      </w:tblGrid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№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Наименование задачи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Исполнитель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Класс задачи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 Подготовка производства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1.1 Конструкторская подготовка производства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заявок на конструкторские проектные работы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конструкторских проектных работ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заказ-нарядов на конструкторские работы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или уточнение технического задания на конструкторские работы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проектных параметров продукции и проектных решений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1.1.6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требований к унификации и стандартизации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стандартизации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1.1.7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Проектирование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1.1.8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Ведение производственной спецификации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1.1.9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конструкторской документации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Архив технической документации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1.1.10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анализ показателей эффективности конструкторской подготовки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1.2. Технологическая подготовка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заявок на разработку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разработки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технологического оборудования и мощностей предприятия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заказов на разработку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технологических процессов, составление маршрутно-технологических карт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1.2.6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Нормирование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труда и заработной платы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1.2.7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Ведение производственной спецификации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1.2.8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Проектирование специальной технологической оснастки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конструктора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1.2.9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проектов технологических процессов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Архив технической документации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1.2.10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анализ показателей эффективности технологической подготовки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1.3. Техническая подготовка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и анализ загрузки производственных мощностей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потребности в технологической оснастке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технолога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технической подготовки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заявок на ремонт оборудования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технических заданий на изготовление или закупку оборудования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механика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1.3.6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Изготовление специальной технологической оснастки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Инструментальный цех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1.3.7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Монтаж оборудования и техническое оснащение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Ремонтно-механический цех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1.3.8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задания на опытное производство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Технический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1.3.9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Изготовление и испытание опытной партии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Опытный цех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1.3.10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выпуска продукции опытного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2. Основное производство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2.1. Сегмент основного производства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Календарное планирование производства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заданий (заказ-нарядов) на производство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фактических объемов выпуска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Производственный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качества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технического контроля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2.1.5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брака и отклонений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технического контроля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 ВСПОМОГАТЕЛЬНОЕ ПРОИЗВОДСТВО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3.1. Ремонтное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капитального ремонта и обновления оборудования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механика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графиков проектно-производственных работ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механика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выполненных ремонтов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Ремонтная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3.2. Энергетическое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потребности в энергоресурсах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энергетика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и доставка энергоресурсов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энергетика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потребления энергоресурсов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главного энергетика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3.3. Транспортное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транспортных перевозок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Транспортный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Внешние и внутренние перевозки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Диспетчерская служба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3.3.3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работы транспорта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Транспортный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3.4. Обеспечение экологической безопасности и охрана окружающей среды</w:t>
            </w:r>
          </w:p>
        </w:tc>
      </w:tr>
      <w:tr>
        <w:trPr>
          <w:trHeight w:val="624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3.4.1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Обеспечение экологической безопасности и охрана окружающей среды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окружающей среды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3.4.2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выбросов и сбросов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окружающей среды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4. Материально-техническое обеспечение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4.1. Обеспечение складских запасов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потребности в материалах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Поиск и выбор поставщиков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тендеров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Тендерный комитет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Заключение договоров на поставку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Юридический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исполнения договоров поставки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4.2. Обеспечение ресурсами рабочих мест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Доставка материальных ресурсов на склады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движения материалов на складе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Нормирование складских запасов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снабжения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4.2.4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Инвентаризация складских запасов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Склад, 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94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5. Маркетинг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5.1. Целевые сегменты рынка сбыта (покупателей)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Сегментирование рынка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рыночных тенденций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Мониторинг конкурентов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5.2. Продвижение продукции (на целевых сегментах рынка сбыта)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рекламных кампаний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рекламы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рекламных мероприятий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рекламы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Участие в выставках и конференциях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5.2.4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Анализ эффективности рекламы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6. Сбыт и сервисное обслуживание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6.1. Сбыт продукции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плана продаж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Обработка заказов клиентов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Заключение договоров на поставку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Оформление отгрузочных документов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продаж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6.1.5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Формирование заказов на отгрузку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Склад готовой продукции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6.2. Сервисное обслуживание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Консультирование клиентов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сервисной поддержки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Прием и обработка претензий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сервисной поддержки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6.2.3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Мониторинг удовлетворенности клиентов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маркетинга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 Финансы и бухгалтерский учет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7.1. Финансовое планирование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Составление бюджетов доходов и расходов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денежных потоков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Инвестиционное планирование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7.2. Бухгалтерский учет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хозяйственных операций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себестоимости продукции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Начисление заработной платы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основных средств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7.2.5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бухгалтерской отчетности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7.3. Налоговый учет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Расчет налогов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7.3.2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Подготовка налоговой отчетности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Бухгалтерия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 Обеспечение трудовыми ресурсами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8.1. Кадровое обеспечение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потребности в персонале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Поиск и подбор кандидатов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Оформление приема на работу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Организация адаптации новых сотрудников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8.2. Обучение и повышение квалификации работников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Выявление потребности в обучении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обучения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Организация обучающих мероприятий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8.2.4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Оценка эффективности обучения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развития персонала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8.3. Охрана труда, обеспечение условий деятельности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Проведение инструктажей по охране труда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труда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соблюдения норм безопасности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труда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Расследование несчастных случаев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охраны труда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8.3.4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Учет рабочего времени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кадров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9. Информационное обеспечение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9.1. Обеспечение информационными ресурсами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Планирование развития ИТ-инфраструктуры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Администрирование серверов и сетей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Поддержка пользователей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9.1.4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и сопровождение ПО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ИТ-отдел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9.2. Обеспечение информационной безопасности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Управление доступом к информации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ИБ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Мониторинг угроз информационной безопасности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ИБ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Т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9.2.3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Расследование инцидентов ИБ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Отдел ИБ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Calibri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 Управление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10.1. Стратегическое управление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Определение стратегических целей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Совет директоров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стратегии развития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Совет директоров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10.1.3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Утверждение стратегических планов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Совет директоров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10.2. Среднесрочное управление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Разработка среднесрочных планов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Бюджетирование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А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10.2.3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Утверждение бюджетов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Финансовый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  <w:tr>
        <w:trPr>
          <w:trHeight w:val="315" w:hRule="atLeast"/>
        </w:trPr>
        <w:tc>
          <w:tcPr>
            <w:tcW w:w="1425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eastAsia="Calibri" w:cs="Times New Roman"/>
                <w:b/>
                <w:bCs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8"/>
                <w:szCs w:val="28"/>
                <w:lang w:eastAsia="en-US" w:bidi="ar-SA"/>
              </w:rPr>
              <w:t>10.3. Оперативное управление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10.3.1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Контроль KPI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Экономический отдел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У</w:t>
            </w:r>
          </w:p>
        </w:tc>
      </w:tr>
      <w:tr>
        <w:trPr>
          <w:trHeight w:val="315" w:hRule="atLeast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10.3.2</w:t>
            </w:r>
          </w:p>
        </w:tc>
        <w:tc>
          <w:tcPr>
            <w:tcW w:w="6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Принятие оперативных решений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Генеральный директор</w:t>
            </w:r>
          </w:p>
        </w:tc>
        <w:tc>
          <w:tcPr>
            <w:tcW w:w="2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eastAsia="Calibri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9"/>
          <w:tab w:val="left" w:pos="4508" w:leader="none"/>
        </w:tabs>
        <w:rPr>
          <w:rFonts w:ascii="Times New Roman" w:hAnsi="Times New Roman" w:cs="Times New Roman"/>
          <w:sz w:val="28"/>
          <w:szCs w:val="28"/>
        </w:rPr>
        <w:sectPr>
          <w:type w:val="nextPage"/>
          <w:pgSz w:orient="landscape" w:w="16838" w:h="11906"/>
          <w:pgMar w:left="1134" w:right="1134" w:gutter="0" w:header="0" w:top="1701" w:footer="0" w:bottom="851"/>
          <w:pgNumType w:fmt="decimal"/>
          <w:formProt w:val="false"/>
          <w:textDirection w:val="lrTb"/>
          <w:docGrid w:type="default" w:linePitch="360" w:charSpace="4294962994"/>
        </w:sect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2.4. Нормализованная диаграмма связей исполнителей и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оптимизации организационной структуры ПАО «Северсталь» используется структурный подход – приведение во взаимное соответствие организационной структуры и полного перечня задач или работ бизнес-процессов. Целью такой оптимизации является согласование иерархической структуры предприятия с иерархической структурой бизнес-процессов, причем структура предприятия рассматривается не только как иерархия структурных элементов, но и как иерархия исполнителей задач бизнес-процессов.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проведения оптимизации структуры ПАО «Северсталь» была проанализирована организационная структура компании, распределение функций между различными подразделениями, выявлены области ответственности.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Нормализованная диаграмма связей исполнителей и бизнес-задач, построенная на основе данных таблицы 2.2, представлена на рисунке 2.1.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3853180" cy="8690610"/>
            <wp:effectExtent l="0" t="0" r="0" b="0"/>
            <wp:docPr id="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180" cy="8690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Рис.2.1.</w:t>
      </w:r>
      <w:r>
        <w:rPr/>
        <w:t xml:space="preserve"> </w:t>
      </w:r>
      <w:r>
        <w:rPr>
          <w:rFonts w:cs="Times New Roman" w:ascii="Times New Roman" w:hAnsi="Times New Roman"/>
        </w:rPr>
        <w:t>Нормализованная диаграмма связей исполнителей и бизнес-задач ПАО «Северсталь»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2.5. Организационно-логические и временные связи решения бизнес-задач.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Организационно-логическая сущность бизнес-задач показывает, в какой последовательности должны решаться задачи, чтобы получить конечный бизнес-продукт процесса.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описания ОЛС в курсовом проекте используется нотация IDEF3, которая позволяет отобразить сценарий выполнения процесса. Основными элементами IDEF3 являются: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1) </w:t>
      </w:r>
      <w:r>
        <w:rPr>
          <w:rFonts w:cs="Times New Roman" w:ascii="Times New Roman" w:hAnsi="Times New Roman"/>
          <w:sz w:val="28"/>
          <w:szCs w:val="28"/>
          <w:lang w:val="en-US"/>
        </w:rPr>
        <w:t>Unit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of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work</w:t>
      </w:r>
      <w:r>
        <w:rPr>
          <w:rFonts w:cs="Times New Roman" w:ascii="Times New Roman" w:hAnsi="Times New Roman"/>
          <w:sz w:val="28"/>
          <w:szCs w:val="28"/>
        </w:rPr>
        <w:t xml:space="preserve"> – единица работы;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2) </w:t>
      </w:r>
      <w:r>
        <w:rPr>
          <w:rFonts w:cs="Times New Roman" w:ascii="Times New Roman" w:hAnsi="Times New Roman"/>
          <w:sz w:val="28"/>
          <w:szCs w:val="28"/>
          <w:lang w:val="en-US"/>
        </w:rPr>
        <w:t>Links</w:t>
      </w:r>
      <w:r>
        <w:rPr>
          <w:rFonts w:cs="Times New Roman" w:ascii="Times New Roman" w:hAnsi="Times New Roman"/>
          <w:sz w:val="28"/>
          <w:szCs w:val="28"/>
        </w:rPr>
        <w:t xml:space="preserve"> – связи – показывают отношение между разными бизнес-задачами;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Junctions – перекрестки - показывают ветвление логики процесса.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Модель </w:t>
      </w:r>
      <w:r>
        <w:rPr>
          <w:rFonts w:cs="Times New Roman" w:ascii="Times New Roman" w:hAnsi="Times New Roman"/>
          <w:sz w:val="28"/>
          <w:szCs w:val="28"/>
          <w:lang w:val="en-US"/>
        </w:rPr>
        <w:t>IDEF</w:t>
      </w:r>
      <w:r>
        <w:rPr>
          <w:rFonts w:cs="Times New Roman" w:ascii="Times New Roman" w:hAnsi="Times New Roman"/>
          <w:sz w:val="28"/>
          <w:szCs w:val="28"/>
        </w:rPr>
        <w:t>3 использует следующие основные объекты (таблица 2.3):</w:t>
      </w:r>
    </w:p>
    <w:p>
      <w:pPr>
        <w:pStyle w:val="Normal"/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2.3 - основные объекты в </w:t>
      </w:r>
      <w:r>
        <w:rPr>
          <w:rFonts w:cs="Times New Roman" w:ascii="Times New Roman" w:hAnsi="Times New Roman"/>
          <w:sz w:val="28"/>
          <w:szCs w:val="28"/>
          <w:lang w:val="en-US"/>
        </w:rPr>
        <w:t>IDEF</w:t>
      </w:r>
      <w:r>
        <w:rPr>
          <w:rFonts w:cs="Times New Roman" w:ascii="Times New Roman" w:hAnsi="Times New Roman"/>
          <w:sz w:val="28"/>
          <w:szCs w:val="28"/>
        </w:rPr>
        <w:t>3-схемах</w:t>
      </w:r>
    </w:p>
    <w:tbl>
      <w:tblPr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114"/>
        <w:gridCol w:w="3115"/>
        <w:gridCol w:w="3115"/>
      </w:tblGrid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Обозначение объекта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Наименование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Содержание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962025" cy="866775"/>
                  <wp:effectExtent l="0" t="0" r="0" b="0"/>
                  <wp:docPr id="7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8667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Модель задачи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Объект служит для описания задач или работ, выполняемых какими-либо исполнителями бизнес-процесса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581025" cy="581025"/>
                  <wp:effectExtent l="0" t="0" r="0" b="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Логическое «И»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Логический оператор, определяющий связи между задачами в рамках бизнес-процесса. Позволяет описать ветвление процесса. Означает одновременное начало или завершение всех представленных задач бизнес-процесса.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/>
              <w:drawing>
                <wp:inline distT="0" distB="0" distL="0" distR="0">
                  <wp:extent cx="581025" cy="590550"/>
                  <wp:effectExtent l="0" t="0" r="0" b="0"/>
                  <wp:docPr id="9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" cy="590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Логическое «ИЛИ»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 xml:space="preserve">Логический оператор, определяющий связи между задачами в рамках бизнес-процесса. Позволяет описать ветвление процесса. Означает одновременное начало или завершение хотя бы одной из представленных задач бизнес-процесса. 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581025" cy="581025"/>
                  <wp:effectExtent l="0" t="0" r="0" b="0"/>
                  <wp:docPr id="10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Логическое исключающее «ИЛИ»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Логический оператор, определяющий связи между задачами в рамках бизнес-процесса. Позволяет описать ветвление процесса. Означает начало или завершение только одной из представленных задач бизнес-процесса.</w:t>
            </w:r>
          </w:p>
        </w:tc>
      </w:tr>
      <w:tr>
        <w:trPr/>
        <w:tc>
          <w:tcPr>
            <w:tcW w:w="3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drawing>
                <wp:anchor distT="0" distB="0" distL="114300" distR="114300" simplePos="0" relativeHeight="17" behindDoc="0" locked="0" layoutInCell="1" allowOverlap="1">
                  <wp:simplePos x="0" y="0"/>
                  <wp:positionH relativeFrom="column">
                    <wp:posOffset>407035</wp:posOffset>
                  </wp:positionH>
                  <wp:positionV relativeFrom="paragraph">
                    <wp:posOffset>176530</wp:posOffset>
                  </wp:positionV>
                  <wp:extent cx="990600" cy="228600"/>
                  <wp:effectExtent l="0" t="0" r="0" b="0"/>
                  <wp:wrapSquare wrapText="bothSides"/>
                  <wp:docPr id="11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228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Стрелка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предшествования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eastAsia="en-US" w:bidi="ar-SA"/>
              </w:rPr>
              <w:t>Показывает временную зависимость между задачами: задача А должна завершиться до начала задачи Б.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ind w:firstLine="709"/>
        <w:rPr/>
      </w:pPr>
      <w:r>
        <w:rPr/>
        <w:t xml:space="preserve">На рисунках 2.2 – 2.7 показаны схемы основных бизнес-процессов предприятия, составленные на основе таблицы </w:t>
      </w:r>
      <w:r>
        <w:rPr/>
        <w:t>2.2</w:t>
      </w:r>
      <w:r>
        <w:rPr/>
        <w:t>:</w:t>
      </w:r>
    </w:p>
    <w:p>
      <w:pPr>
        <w:pStyle w:val="Normal"/>
        <w:spacing w:before="0" w:after="160"/>
        <w:ind w:firstLine="709"/>
        <w:rPr/>
      </w:pPr>
      <w:r>
        <w:rPr/>
      </w:r>
    </w:p>
    <w:p>
      <w:pPr>
        <w:pStyle w:val="Normal"/>
        <w:spacing w:before="0" w:after="160"/>
        <w:rPr/>
      </w:pPr>
      <w:r>
        <w:rPr/>
        <w:drawing>
          <wp:inline distT="0" distB="0" distL="0" distR="0">
            <wp:extent cx="5939790" cy="2592070"/>
            <wp:effectExtent l="0" t="0" r="0" b="0"/>
            <wp:docPr id="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92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2.2. Организационно-логическая схема бизнес-процесса «Подготовка производства»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483870"/>
            <wp:effectExtent l="0" t="0" r="0" b="0"/>
            <wp:docPr id="1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2.3. Организационно-логическая схема бизнес-процесса «Основное производство»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3213100"/>
            <wp:effectExtent l="0" t="0" r="0" b="0"/>
            <wp:docPr id="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2.4. Организационно-логическая схема бизнес-процесса «Вспомогательное производство»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2525395"/>
            <wp:effectExtent l="0" t="0" r="0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25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2.5. Организационно-логическая схема бизнес-процесса «Материально-техническое обеспечение»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5939790" cy="880745"/>
            <wp:effectExtent l="0" t="0" r="0" b="0"/>
            <wp:docPr id="1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80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Рис. 2.6. Организационно-логическая схема бизнес-процесса «Сбыт и сервисное обслуживание»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  <w:r>
        <w:rPr>
          <w:rFonts w:cs="Times New Roman" w:ascii="Times New Roman" w:hAnsi="Times New Roman"/>
          <w:b/>
          <w:bCs/>
          <w:sz w:val="28"/>
          <w:szCs w:val="28"/>
        </w:rPr>
        <w:t>Список использованных источников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1)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Официальный сайт ФНС России. Выписка из Единого государственного реестра юридических лиц. — [Электронный ресурс]: https://egrul.nalog.ru/index.html (дата обращения: 15.03.2026).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2)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Официальный сайт ПАО «Северсталь». Отчёт об устойчивом развитии за 2022 год. — [Электронный ресурс]: </w:t>
      </w:r>
      <w:hyperlink r:id="rId19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https://severstal.com/upload/iblock/ce6/435fiodtc2supz33n6m8x7oanxs98w37/Severstal_Sustainability_Report_2022.pdf</w:t>
        </w:r>
      </w:hyperlink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3)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Официальный сайт ПАО «Северсталь». Интегрированный отчёт за 2023 год. — [Электронный ресурс]: </w:t>
      </w:r>
      <w:hyperlink r:id="rId20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https://severstal.com/upload/iblock/02d/aqq3ad3fyd6buce9dbvsaikkartx8u2s/ARA1086_Otchet_SS_2023_RU_05_03_25_NaSayt.pdf</w:t>
        </w:r>
      </w:hyperlink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4)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Официальный сайт ПАО «Северсталь». Отчёт об устойчивом развитии за 2024 год. — [Электронный ресурс]: https://severstal.com/upload/iblock/e06/5dgmpw1hykyis9ri0aea7jykwudvy25c/Severstal_Sustainability_Report_2024.pdf 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5) Официальный сайт ПАО «Северсталь».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Годовой отчёт за 2021 год. — [Электронный ресурс]: </w:t>
      </w:r>
      <w:hyperlink r:id="rId21">
        <w:r>
          <w:rPr>
            <w:rStyle w:val="Hyperlink"/>
            <w:rFonts w:cs="Times New Roman" w:ascii="Times New Roman" w:hAnsi="Times New Roman"/>
            <w:b w:val="false"/>
            <w:bCs w:val="false"/>
            <w:sz w:val="28"/>
            <w:szCs w:val="28"/>
          </w:rPr>
          <w:t>https://severstal.com/upload/iblock/190/Annual_Report_2021_RUS.pdf</w:t>
        </w:r>
      </w:hyperlink>
    </w:p>
    <w:p>
      <w:pPr>
        <w:pStyle w:val="Normal"/>
        <w:widowControl/>
        <w:suppressAutoHyphens w:val="true"/>
        <w:bidi w:val="0"/>
        <w:spacing w:lineRule="auto" w:line="360" w:before="0" w:after="160"/>
        <w:ind w:firstLine="680" w:start="0" w:end="0"/>
        <w:jc w:val="start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6)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Смирнов Ю.Н. Учебный курс «Проектирование информационных систем». Основные бизнес-задачи предприятия. — ФГБОУ ВО КГЭУ, Moodle2. — [Электронный ресурс]: https://lms2.kgeu.ru/pluginfile.php/131479/mod_resource/content/1/%2305%20Основные%20бизнес-задачи%20предприятия%2B.pdf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429496299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everstal.com/rus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hyperlink" Target="https://severstal.com/upload/iblock/ce6/435fiodtc2supz33n6m8x7oanxs98w37/Severstal_Sustainability_Report_2022.pdf" TargetMode="External"/><Relationship Id="rId20" Type="http://schemas.openxmlformats.org/officeDocument/2006/relationships/hyperlink" Target="https://severstal.com/upload/iblock/02d/aqq3ad3fyd6buce9dbvsaikkartx8u2s/ARA1086_Otchet_SS_2023_RU_05_03_25_NaSayt.pdf" TargetMode="External"/><Relationship Id="rId21" Type="http://schemas.openxmlformats.org/officeDocument/2006/relationships/hyperlink" Target="https://severstal.com/upload/iblock/190/Annual_Report_2021_RUS.pdf" TargetMode="Externa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Application>LibreOffice/25.8.5.2$Linux_X86_64 LibreOffice_project/252c20f6956e3db0b52e6e2f9dda67263513c8fc</Application>
  <AppVersion>15.0000</AppVersion>
  <Pages>50</Pages>
  <Words>5412</Words>
  <Characters>40381</Characters>
  <CharactersWithSpaces>44892</CharactersWithSpaces>
  <Paragraphs>972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2026-03-08T22:09:00Z</dcterms:created>
  <dc:creator/>
  <dc:description/>
  <dc:language>ru-RU</dc:language>
  <cp:lastModifiedBy/>
  <dcterms:modified xsi:type="dcterms:W3CDTF">2026-03-15T21:28:34Z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