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ab/>
        <w:t>АННОТАЦИЯ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Курсовой проект выполняется на тему «Проектирование информационной системы «ПАО Северсталь» и разработка задачи «» подсистемы «»». 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Объектом исследования курсового проекта является ПАО «Северсталь» - российская вертикально интегрированная горнодобывающая и металлургическая компания. Предметом исследования являются бизнес-процессы и информационная система организации. 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Цель работы выполнения курсового проекта – изучение содержания предпроектного анализа деятельности предприятия, разработки стандартов управления бизнес-процессами методами реинжиниринга, проектирования информационных систем, разработки задач подсистем, проектирования компонентов ИС, управления проектированием ИС методами сетевого планирования и управления.</w:t>
      </w:r>
      <w:r>
        <w:br w:type="page"/>
      </w:r>
    </w:p>
    <w:p>
      <w:pPr>
        <w:pStyle w:val="Normal"/>
        <w:spacing w:lineRule="auto" w:line="360" w:before="0" w:after="16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ВВЕДЕНИЕ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1. ПРЕДПРОЕКТНЫЙ АНАЛИЗ ДЕЯТЕЛЬНОСТИ ПРЕДПРИЯТИЯ ПАО «СЕВЕРСТАЛЬ»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1.1. Характеристика металлургической отрасли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Металлургическая отрасль является одной из ключевых в промышленности России. Она обеспечивает большой процент ВВП, занимая около 4 процентов мирового производства стали. Объем выплавки составляет около 60-70 млн тонн в год, около половины продукции поставляется на экспорт. 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Основу российской металлургии составляют крупные вертикально интегрированные холдинги, которые имеют полный производственный цикл - от добычи железной руды до выпуска готового проката. К числу ведущих компаний как раз и относится ПАО «Северсталь».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Современными тенденциями являются импортозамещение оборудования и программного обеспечения, ужесточение экологических требований, переход на более экологичные способы производства, цифровизация производства и управления.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1.2. Наименование и реквизиты предприятия 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Полное наименование: </w:t>
      </w:r>
      <w:r>
        <w:rPr>
          <w:rFonts w:cs="Times New Roman" w:ascii="Times New Roman" w:hAnsi="Times New Roman"/>
          <w:sz w:val="28"/>
          <w:szCs w:val="28"/>
        </w:rPr>
        <w:t>Публичное акционерное общество «Северсталь».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Юридический адрес:</w:t>
      </w:r>
      <w:r>
        <w:rPr>
          <w:rFonts w:cs="Times New Roman" w:ascii="Times New Roman" w:hAnsi="Times New Roman"/>
          <w:sz w:val="28"/>
          <w:szCs w:val="28"/>
        </w:rPr>
        <w:t xml:space="preserve"> 162608, Вологодская область, город Череповец, ул. Мира, д. 30.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Управляющая организация:</w:t>
      </w:r>
      <w:r>
        <w:rPr>
          <w:rFonts w:cs="Times New Roman" w:ascii="Times New Roman" w:hAnsi="Times New Roman"/>
          <w:sz w:val="28"/>
          <w:szCs w:val="28"/>
        </w:rPr>
        <w:t xml:space="preserve"> АО «Северсталь Менеджмент» (ИНН 7713505053).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Генеральный директор:</w:t>
      </w:r>
      <w:r>
        <w:rPr>
          <w:rFonts w:cs="Times New Roman" w:ascii="Times New Roman" w:hAnsi="Times New Roman"/>
          <w:sz w:val="28"/>
          <w:szCs w:val="28"/>
        </w:rPr>
        <w:t xml:space="preserve"> Александр Анатольевич Шевелёв.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Реквизиты предприятия[1]: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ИНН:</w:t>
      </w:r>
      <w:r>
        <w:rPr>
          <w:rFonts w:cs="Times New Roman" w:ascii="Times New Roman" w:hAnsi="Times New Roman"/>
          <w:sz w:val="28"/>
          <w:szCs w:val="28"/>
        </w:rPr>
        <w:t xml:space="preserve"> 3528000597; 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ОКПО: </w:t>
      </w:r>
      <w:r>
        <w:rPr>
          <w:rFonts w:cs="Times New Roman" w:ascii="Times New Roman" w:hAnsi="Times New Roman"/>
          <w:sz w:val="28"/>
          <w:szCs w:val="28"/>
        </w:rPr>
        <w:t xml:space="preserve">00186217; 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КПП:</w:t>
      </w:r>
      <w:r>
        <w:rPr>
          <w:rFonts w:cs="Times New Roman" w:ascii="Times New Roman" w:hAnsi="Times New Roman"/>
          <w:sz w:val="28"/>
          <w:szCs w:val="28"/>
        </w:rPr>
        <w:t xml:space="preserve"> 352801001;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b/>
          <w:bCs/>
        </w:rPr>
        <w:t>ОГРН:</w:t>
      </w:r>
      <w:r>
        <w:rPr/>
        <w:t xml:space="preserve"> 1023501236901;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Дата первичной регистрации:</w:t>
      </w:r>
      <w:r>
        <w:rPr>
          <w:rFonts w:cs="Times New Roman" w:ascii="Times New Roman" w:hAnsi="Times New Roman"/>
          <w:sz w:val="28"/>
          <w:szCs w:val="28"/>
        </w:rPr>
        <w:t xml:space="preserve"> 24.09.1993; 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Дата присвоения ОГРН:</w:t>
      </w:r>
      <w:r>
        <w:rPr>
          <w:rFonts w:cs="Times New Roman" w:ascii="Times New Roman" w:hAnsi="Times New Roman"/>
          <w:sz w:val="28"/>
          <w:szCs w:val="28"/>
        </w:rPr>
        <w:t xml:space="preserve"> 31.07.2002.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Официальный сайт — </w:t>
      </w:r>
      <w:hyperlink r:id="rId2">
        <w:r>
          <w:rPr>
            <w:rStyle w:val="Hyperlink"/>
            <w:rFonts w:cs="Times New Roman" w:ascii="Times New Roman" w:hAnsi="Times New Roman"/>
            <w:b w:val="false"/>
            <w:bCs w:val="false"/>
            <w:sz w:val="28"/>
            <w:szCs w:val="28"/>
          </w:rPr>
          <w:t>https://severstal.com/rus</w:t>
        </w:r>
      </w:hyperlink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1.3. Виды деятельности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Основные виды деятельности[1]: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24.10 — Производство чугуна, стали и ферросплавов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Дополнительные виды деятельности[1]: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07.10.3 — Обогащение и агломерация железных руд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24.10.3 — Производство листового горячекатаного стального проката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24.10.4 — Производство листового холоднокатаного стального проката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24.10.5 — Производство листового холоднокатаного стального проката с покрытием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24.20 — Производство стальных труб, полых профилей и фитингов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24.33 — Производство профилей с помощью холодной штамповки или гибки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46.72 — Торговля оптовая металлами и металлическими рудами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52.10 — Деятельность по складированию и хранению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71.12 — Деятельность в области инженерно-технического проектирования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72.19 — Научные исследования и разработки в области естественных и технических наук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Таким образом, ПАО «Северсталь» реализует полный производственный цикл - от добычи сырья до его обработки и реализации.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1.4. Основные фонды и физическая схема их расположения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Основные фонды охарактеризованы данными за 2021 год, так как в последующие годы детализированная финансовая отчетность по МСФО в открытом доступе не публиковалась[5]. Это показано в таблице 1.1.</w:t>
      </w:r>
    </w:p>
    <w:p>
      <w:pPr>
        <w:pStyle w:val="Normal"/>
        <w:spacing w:lineRule="auto" w:line="259" w:before="0" w:after="1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1.1 — основные фонды ПАО «Северсталь»</w:t>
      </w:r>
    </w:p>
    <w:tbl>
      <w:tblPr>
        <w:tblW w:w="934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114"/>
        <w:gridCol w:w="6230"/>
      </w:tblGrid>
      <w:tr>
        <w:trPr/>
        <w:tc>
          <w:tcPr>
            <w:tcW w:w="3114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lang w:eastAsia="en-US" w:bidi="ar-SA"/>
              </w:rPr>
              <w:t>Показатель</w:t>
            </w:r>
          </w:p>
        </w:tc>
        <w:tc>
          <w:tcPr>
            <w:tcW w:w="6230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Значение, млн. руб.</w:t>
            </w:r>
          </w:p>
        </w:tc>
      </w:tr>
      <w:tr>
        <w:trPr/>
        <w:tc>
          <w:tcPr>
            <w:tcW w:w="3114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Основные средства</w:t>
            </w:r>
          </w:p>
        </w:tc>
        <w:tc>
          <w:tcPr>
            <w:tcW w:w="6230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368222</w:t>
            </w:r>
          </w:p>
        </w:tc>
      </w:tr>
      <w:tr>
        <w:trPr/>
        <w:tc>
          <w:tcPr>
            <w:tcW w:w="3114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Запасы</w:t>
            </w:r>
          </w:p>
        </w:tc>
        <w:tc>
          <w:tcPr>
            <w:tcW w:w="6230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104917</w:t>
            </w:r>
          </w:p>
        </w:tc>
      </w:tr>
      <w:tr>
        <w:trPr/>
        <w:tc>
          <w:tcPr>
            <w:tcW w:w="3114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Нематериальные активы</w:t>
            </w:r>
          </w:p>
        </w:tc>
        <w:tc>
          <w:tcPr>
            <w:tcW w:w="6230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19854</w:t>
            </w:r>
          </w:p>
        </w:tc>
      </w:tr>
    </w:tbl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Физическая схема расположения.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интегрированном отчете ПАО «Северсталь» и его дочерних предприятий за 2024 год предоставлена карта с расположением ключевых производственных активов компании[4, с.17]. Это показано на рисунке 1.1.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39790" cy="276987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769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Рис.1.1. Расположение ключевых предприятий. </w:t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1.5. Характеристика трудовых ресурсов.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Основные показатели трудовых ресурсов ПАО «Северсталь» за 2022-2024 гг. представлены в таблице 1.2 [2; 3; 4].</w:t>
      </w:r>
    </w:p>
    <w:p>
      <w:pPr>
        <w:pStyle w:val="Normal"/>
        <w:spacing w:lineRule="auto" w:line="259" w:before="0" w:after="1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1.2 — показатели трудовых ресурсов ПАО «Северсталь»</w:t>
      </w:r>
    </w:p>
    <w:tbl>
      <w:tblPr>
        <w:tblW w:w="936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589"/>
        <w:gridCol w:w="1657"/>
        <w:gridCol w:w="1659"/>
        <w:gridCol w:w="1660"/>
        <w:gridCol w:w="1802"/>
      </w:tblGrid>
      <w:tr>
        <w:trPr>
          <w:trHeight w:val="624" w:hRule="atLeast"/>
        </w:trPr>
        <w:tc>
          <w:tcPr>
            <w:tcW w:w="2589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lang w:eastAsia="en-US" w:bidi="ar-SA"/>
              </w:rPr>
              <w:t>Показатели</w:t>
            </w:r>
          </w:p>
        </w:tc>
        <w:tc>
          <w:tcPr>
            <w:tcW w:w="1657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2022</w:t>
            </w:r>
          </w:p>
        </w:tc>
        <w:tc>
          <w:tcPr>
            <w:tcW w:w="1659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2023</w:t>
            </w:r>
          </w:p>
        </w:tc>
        <w:tc>
          <w:tcPr>
            <w:tcW w:w="1660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2024</w:t>
            </w:r>
          </w:p>
        </w:tc>
        <w:tc>
          <w:tcPr>
            <w:tcW w:w="1802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Изменение 2024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/2022</w:t>
            </w:r>
          </w:p>
        </w:tc>
      </w:tr>
      <w:tr>
        <w:trPr>
          <w:trHeight w:val="635" w:hRule="atLeast"/>
        </w:trPr>
        <w:tc>
          <w:tcPr>
            <w:tcW w:w="2589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Среднесписочная численность, чел.</w:t>
            </w:r>
          </w:p>
        </w:tc>
        <w:tc>
          <w:tcPr>
            <w:tcW w:w="1657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49 800</w:t>
            </w:r>
          </w:p>
        </w:tc>
        <w:tc>
          <w:tcPr>
            <w:tcW w:w="1659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46 113</w:t>
            </w:r>
          </w:p>
        </w:tc>
        <w:tc>
          <w:tcPr>
            <w:tcW w:w="1660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50 553</w:t>
            </w:r>
          </w:p>
        </w:tc>
        <w:tc>
          <w:tcPr>
            <w:tcW w:w="1802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+753</w:t>
            </w:r>
          </w:p>
        </w:tc>
      </w:tr>
      <w:tr>
        <w:trPr>
          <w:trHeight w:val="317" w:hRule="atLeast"/>
        </w:trPr>
        <w:tc>
          <w:tcPr>
            <w:tcW w:w="9367" w:type="dxa"/>
            <w:gridSpan w:val="5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В том числе:</w:t>
            </w:r>
          </w:p>
        </w:tc>
      </w:tr>
      <w:tr>
        <w:trPr>
          <w:trHeight w:val="306" w:hRule="atLeast"/>
        </w:trPr>
        <w:tc>
          <w:tcPr>
            <w:tcW w:w="2589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-мужчины</w:t>
            </w:r>
          </w:p>
        </w:tc>
        <w:tc>
          <w:tcPr>
            <w:tcW w:w="1657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35859</w:t>
            </w:r>
          </w:p>
        </w:tc>
        <w:tc>
          <w:tcPr>
            <w:tcW w:w="1659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33192</w:t>
            </w:r>
          </w:p>
        </w:tc>
        <w:tc>
          <w:tcPr>
            <w:tcW w:w="1660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36396</w:t>
            </w:r>
          </w:p>
        </w:tc>
        <w:tc>
          <w:tcPr>
            <w:tcW w:w="1802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+537</w:t>
            </w:r>
          </w:p>
        </w:tc>
      </w:tr>
      <w:tr>
        <w:trPr>
          <w:trHeight w:val="317" w:hRule="atLeast"/>
        </w:trPr>
        <w:tc>
          <w:tcPr>
            <w:tcW w:w="2589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-женщины</w:t>
            </w:r>
          </w:p>
        </w:tc>
        <w:tc>
          <w:tcPr>
            <w:tcW w:w="1657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13941</w:t>
            </w:r>
          </w:p>
        </w:tc>
        <w:tc>
          <w:tcPr>
            <w:tcW w:w="1659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12921</w:t>
            </w:r>
          </w:p>
        </w:tc>
        <w:tc>
          <w:tcPr>
            <w:tcW w:w="1660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14157</w:t>
            </w:r>
          </w:p>
        </w:tc>
        <w:tc>
          <w:tcPr>
            <w:tcW w:w="1802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+216</w:t>
            </w:r>
          </w:p>
        </w:tc>
      </w:tr>
      <w:tr>
        <w:trPr>
          <w:trHeight w:val="306" w:hRule="atLeast"/>
        </w:trPr>
        <w:tc>
          <w:tcPr>
            <w:tcW w:w="2589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-руководители</w:t>
            </w:r>
          </w:p>
        </w:tc>
        <w:tc>
          <w:tcPr>
            <w:tcW w:w="1657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7583</w:t>
            </w:r>
          </w:p>
        </w:tc>
        <w:tc>
          <w:tcPr>
            <w:tcW w:w="1659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8132</w:t>
            </w:r>
          </w:p>
        </w:tc>
        <w:tc>
          <w:tcPr>
            <w:tcW w:w="1660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9708</w:t>
            </w:r>
          </w:p>
        </w:tc>
        <w:tc>
          <w:tcPr>
            <w:tcW w:w="1802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+2125</w:t>
            </w:r>
          </w:p>
        </w:tc>
      </w:tr>
      <w:tr>
        <w:trPr>
          <w:trHeight w:val="317" w:hRule="atLeast"/>
        </w:trPr>
        <w:tc>
          <w:tcPr>
            <w:tcW w:w="2589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-инженеры</w:t>
            </w:r>
          </w:p>
        </w:tc>
        <w:tc>
          <w:tcPr>
            <w:tcW w:w="1657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8238</w:t>
            </w:r>
          </w:p>
        </w:tc>
        <w:tc>
          <w:tcPr>
            <w:tcW w:w="1659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8802</w:t>
            </w:r>
          </w:p>
        </w:tc>
        <w:tc>
          <w:tcPr>
            <w:tcW w:w="1660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10474</w:t>
            </w:r>
          </w:p>
        </w:tc>
        <w:tc>
          <w:tcPr>
            <w:tcW w:w="1802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+2236</w:t>
            </w:r>
          </w:p>
        </w:tc>
      </w:tr>
      <w:tr>
        <w:trPr>
          <w:trHeight w:val="306" w:hRule="atLeast"/>
        </w:trPr>
        <w:tc>
          <w:tcPr>
            <w:tcW w:w="2589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-рабочие</w:t>
            </w:r>
          </w:p>
        </w:tc>
        <w:tc>
          <w:tcPr>
            <w:tcW w:w="1657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29672</w:t>
            </w:r>
          </w:p>
        </w:tc>
        <w:tc>
          <w:tcPr>
            <w:tcW w:w="1659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30321</w:t>
            </w:r>
          </w:p>
        </w:tc>
        <w:tc>
          <w:tcPr>
            <w:tcW w:w="1660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32260</w:t>
            </w:r>
          </w:p>
        </w:tc>
        <w:tc>
          <w:tcPr>
            <w:tcW w:w="1802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+2588</w:t>
            </w:r>
          </w:p>
        </w:tc>
      </w:tr>
      <w:tr>
        <w:trPr>
          <w:trHeight w:val="306" w:hRule="atLeast"/>
        </w:trPr>
        <w:tc>
          <w:tcPr>
            <w:tcW w:w="2589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Средняя заработная плата, тыс. руб.</w:t>
            </w:r>
          </w:p>
        </w:tc>
        <w:tc>
          <w:tcPr>
            <w:tcW w:w="1657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109,3</w:t>
            </w:r>
          </w:p>
        </w:tc>
        <w:tc>
          <w:tcPr>
            <w:tcW w:w="1659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117,3</w:t>
            </w:r>
          </w:p>
        </w:tc>
        <w:tc>
          <w:tcPr>
            <w:tcW w:w="1660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144,0</w:t>
            </w:r>
          </w:p>
        </w:tc>
        <w:tc>
          <w:tcPr>
            <w:tcW w:w="1802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+34,7</w:t>
            </w:r>
          </w:p>
        </w:tc>
      </w:tr>
      <w:tr>
        <w:trPr>
          <w:trHeight w:val="306" w:hRule="atLeast"/>
        </w:trPr>
        <w:tc>
          <w:tcPr>
            <w:tcW w:w="9367" w:type="dxa"/>
            <w:gridSpan w:val="5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Обучение персонала</w:t>
            </w:r>
          </w:p>
        </w:tc>
      </w:tr>
      <w:tr>
        <w:trPr>
          <w:trHeight w:val="306" w:hRule="atLeast"/>
        </w:trPr>
        <w:tc>
          <w:tcPr>
            <w:tcW w:w="2589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-доля сотрудников, прошедших обучение, %</w:t>
            </w:r>
          </w:p>
        </w:tc>
        <w:tc>
          <w:tcPr>
            <w:tcW w:w="1657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80%</w:t>
            </w:r>
          </w:p>
        </w:tc>
        <w:tc>
          <w:tcPr>
            <w:tcW w:w="1659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95%</w:t>
            </w:r>
          </w:p>
        </w:tc>
        <w:tc>
          <w:tcPr>
            <w:tcW w:w="1660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88%</w:t>
            </w:r>
          </w:p>
        </w:tc>
        <w:tc>
          <w:tcPr>
            <w:tcW w:w="1802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+8 п.п.</w:t>
            </w:r>
          </w:p>
        </w:tc>
      </w:tr>
      <w:tr>
        <w:trPr>
          <w:trHeight w:val="306" w:hRule="atLeast"/>
        </w:trPr>
        <w:tc>
          <w:tcPr>
            <w:tcW w:w="2589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-расходы на обучение, млн. руб.</w:t>
            </w:r>
          </w:p>
        </w:tc>
        <w:tc>
          <w:tcPr>
            <w:tcW w:w="1657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230,6</w:t>
            </w:r>
          </w:p>
        </w:tc>
        <w:tc>
          <w:tcPr>
            <w:tcW w:w="1659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274</w:t>
            </w:r>
          </w:p>
        </w:tc>
        <w:tc>
          <w:tcPr>
            <w:tcW w:w="1660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452</w:t>
            </w:r>
          </w:p>
        </w:tc>
        <w:tc>
          <w:tcPr>
            <w:tcW w:w="1802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+221,4</w:t>
            </w:r>
          </w:p>
        </w:tc>
      </w:tr>
      <w:tr>
        <w:trPr>
          <w:trHeight w:val="306" w:hRule="atLeast"/>
        </w:trPr>
        <w:tc>
          <w:tcPr>
            <w:tcW w:w="2589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-средняя продолжительность обучения, часов</w:t>
            </w:r>
          </w:p>
        </w:tc>
        <w:tc>
          <w:tcPr>
            <w:tcW w:w="1657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56</w:t>
            </w:r>
          </w:p>
        </w:tc>
        <w:tc>
          <w:tcPr>
            <w:tcW w:w="1659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38</w:t>
            </w:r>
          </w:p>
        </w:tc>
        <w:tc>
          <w:tcPr>
            <w:tcW w:w="1660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42</w:t>
            </w:r>
          </w:p>
        </w:tc>
        <w:tc>
          <w:tcPr>
            <w:tcW w:w="1802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-14</w:t>
            </w:r>
          </w:p>
        </w:tc>
      </w:tr>
      <w:tr>
        <w:trPr>
          <w:trHeight w:val="306" w:hRule="atLeast"/>
        </w:trPr>
        <w:tc>
          <w:tcPr>
            <w:tcW w:w="9367" w:type="dxa"/>
            <w:gridSpan w:val="5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Социальная поддержка</w:t>
            </w:r>
          </w:p>
        </w:tc>
      </w:tr>
      <w:tr>
        <w:trPr>
          <w:trHeight w:val="306" w:hRule="atLeast"/>
        </w:trPr>
        <w:tc>
          <w:tcPr>
            <w:tcW w:w="2589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-фонд оплаты труда, млрд. руб.</w:t>
            </w:r>
          </w:p>
        </w:tc>
        <w:tc>
          <w:tcPr>
            <w:tcW w:w="1657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65,4</w:t>
            </w:r>
          </w:p>
        </w:tc>
        <w:tc>
          <w:tcPr>
            <w:tcW w:w="1659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64,9</w:t>
            </w:r>
          </w:p>
        </w:tc>
        <w:tc>
          <w:tcPr>
            <w:tcW w:w="1660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87,5</w:t>
            </w:r>
          </w:p>
        </w:tc>
        <w:tc>
          <w:tcPr>
            <w:tcW w:w="1802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22,1</w:t>
            </w:r>
          </w:p>
        </w:tc>
      </w:tr>
      <w:tr>
        <w:trPr>
          <w:trHeight w:val="306" w:hRule="atLeast"/>
        </w:trPr>
        <w:tc>
          <w:tcPr>
            <w:tcW w:w="2589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-расходы на соц. Обеспечение, млрд. руб.</w:t>
            </w:r>
          </w:p>
        </w:tc>
        <w:tc>
          <w:tcPr>
            <w:tcW w:w="1657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1,85</w:t>
            </w:r>
          </w:p>
        </w:tc>
        <w:tc>
          <w:tcPr>
            <w:tcW w:w="1659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1,29</w:t>
            </w:r>
          </w:p>
        </w:tc>
        <w:tc>
          <w:tcPr>
            <w:tcW w:w="1660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3,8</w:t>
            </w:r>
          </w:p>
        </w:tc>
        <w:tc>
          <w:tcPr>
            <w:tcW w:w="1802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+1,95</w:t>
            </w:r>
          </w:p>
        </w:tc>
      </w:tr>
      <w:tr>
        <w:trPr>
          <w:trHeight w:val="306" w:hRule="atLeast"/>
        </w:trPr>
        <w:tc>
          <w:tcPr>
            <w:tcW w:w="9367" w:type="dxa"/>
            <w:gridSpan w:val="5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Охрана труда</w:t>
            </w:r>
          </w:p>
        </w:tc>
      </w:tr>
      <w:tr>
        <w:trPr>
          <w:trHeight w:val="306" w:hRule="atLeast"/>
        </w:trPr>
        <w:tc>
          <w:tcPr>
            <w:tcW w:w="2589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-расходы на ОТ и ПБ, млрд. руб.</w:t>
            </w:r>
          </w:p>
        </w:tc>
        <w:tc>
          <w:tcPr>
            <w:tcW w:w="1657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3,8</w:t>
            </w:r>
          </w:p>
        </w:tc>
        <w:tc>
          <w:tcPr>
            <w:tcW w:w="1659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4,1</w:t>
            </w:r>
          </w:p>
        </w:tc>
        <w:tc>
          <w:tcPr>
            <w:tcW w:w="1660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7,1</w:t>
            </w:r>
          </w:p>
        </w:tc>
        <w:tc>
          <w:tcPr>
            <w:tcW w:w="1802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+3,3</w:t>
            </w:r>
          </w:p>
        </w:tc>
      </w:tr>
    </w:tbl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1.6. Входные ресурсы предприятия.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ПАО «Северсталь» представляет собой вертикально-интегрированный горно-металлургический холдинг, который практически полностью обеспечивает себя основными видами первичного сырья за счёт собственных активов. Это позволяет компании минимизировать зависимость от внешних поставщиков и условий рынка и контролировать качество продукции на всех этапах производства.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Все ключевые виды железорудного сырья компания получает от своих горных комбинатов, расположенных в регионах присутствия. Основные объемы добычи и производства представлены на рисунке 1.2 [4, с.17].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39790" cy="258635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586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Рис.1.2. Основные активы дивизиона «Северсталь Ресурс» и объёмы производства сырья в 2024 году.</w:t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Несмотря на высокую степень вертикальной интеграции, компания вынуждена привлекать внешних поставщиков для обеспечения следующих ресурсов: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1) Коксующийся уголь;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2) Природный газ;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3) Электроэнергия (частично закупается у внешних поставщиков, частично генерируется на собственных ТЭЦ ЧерМК);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4) Оборудование, запчасти для ремонта и модернизации, расходные материалы;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5) Ремонт, строительство, </w:t>
      </w:r>
      <w:r>
        <w:rPr>
          <w:rFonts w:cs="Times New Roman" w:ascii="Times New Roman" w:hAnsi="Times New Roman"/>
          <w:sz w:val="28"/>
          <w:szCs w:val="28"/>
          <w:lang w:val="en-US"/>
        </w:rPr>
        <w:t>IT</w:t>
      </w:r>
      <w:r>
        <w:rPr>
          <w:rFonts w:cs="Times New Roman" w:ascii="Times New Roman" w:hAnsi="Times New Roman"/>
          <w:sz w:val="28"/>
          <w:szCs w:val="28"/>
        </w:rPr>
        <w:t xml:space="preserve"> - аутсорсинг.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1.7. Продукты предприятия.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Добытое сырье доставляется на Череповецкий металлургический комбинат, где осуществляется выплавка чугуна и стали, а также выпуск готового проката. Структура производства и основные виды продукции представлены на рисунке 1.3 [4, с. 18].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39790" cy="317690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176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Рис.1.3. Производственные показатели дивизиона «Северсталь Российская сталь» в 2024 году.</w:t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2024 году на мощностях дивизиона произведено [4]: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1) Стали — 10,4 млн тонн (включая плоский и сортовой прокат);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2) Труб большого диаметра — 0,5 млн тонн;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3) Метизной продукции — 0,4 млн тонн.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Помимо производства металлопроката, компания предоставляет услуги по сервисной обработке металла (резка, гибка, раскрой) в собственных сервисных металлоцентрах, а также осуществляет доставку продукции автомобильным и железнодорожным транспортом.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1.8. Характеристика потребителей продукции и конкурентная среда.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Продукция ПАО «Северсталь» ориентирована на два направления: внутренний Российский рынок и экспорт (в данный момент преимущественно в страны СНГ, Азии и Ближнего Востока).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структуре потребления выделяется несколько основных отраслей: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1) Строительная отрасль. Она потребляет большую часть всей металлопродукции. 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2) Нефтегазовый сектор и энергетика. Основными продуктами в этой отрасли являются трубы большого диаметра, прокат для атомной энергетики.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3) Транспорт и логистика: железнодорожный транспорт (рельсы, колесные пары), логистическая инфраструктура (складские комплексы, стеллажные системы, грузовые контейнеры, портовое оборудование).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4) Машиностроение. Использует катанный и оцинкованный прокат, высокопрочную сталь.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Конкурентная среда: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Рынок металлопродукции характеризуется высокой конкуренций как на внутреннем, так и на внешнем рынке. 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Основными конкурентами ПАО «Северсталь» являются: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1) ПАО «НЛМК» - конкурент в сегменте плоского проката;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2) ПАО «ММК» - конкурент в сортовом и плоском прокате;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3) ПАО «Мечел» - конкурент в сортовом прокате, метизах и рельсовой продукции;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4) ПАО «ТМК» - конкурент в трубной продукции, особенно большого диаметра.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Согласно данным интегрированного отчета за 2024 год, доля продукции с высокой добавочной стоимостью в портфеле компании достигла 52%, что позволяет компании конкурировать и держать преимущество в самых маржинальных сегментах рынка [4]. ПАО «Северсталь» занимает устойчивую позицию в ключевых сегментах российского рынка металлопродукции, сохраняя конкурентоспособность за счёт вертикальной интеграции и низкой себестоимости производства.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1.9. Производственные и экономические показатели деятельности.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Основные производственные и финансовые результаты ПАО «Северсталь» за 2022-2024 гг. представлены в таблице 1.3 [2; 3; 4].</w:t>
      </w:r>
    </w:p>
    <w:p>
      <w:pPr>
        <w:pStyle w:val="Normal"/>
        <w:tabs>
          <w:tab w:val="clear" w:pos="709"/>
          <w:tab w:val="left" w:pos="0" w:leader="none"/>
        </w:tabs>
        <w:spacing w:lineRule="auto" w:line="360" w:before="0" w:after="160"/>
        <w:ind w:firstLine="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1.3 — производственные и финансовые показатели ПАО «Северсталь»</w:t>
      </w:r>
    </w:p>
    <w:tbl>
      <w:tblPr>
        <w:tblW w:w="934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549"/>
        <w:gridCol w:w="1666"/>
        <w:gridCol w:w="1662"/>
        <w:gridCol w:w="1658"/>
        <w:gridCol w:w="1809"/>
      </w:tblGrid>
      <w:tr>
        <w:trPr/>
        <w:tc>
          <w:tcPr>
            <w:tcW w:w="254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Показатель</w:t>
            </w:r>
          </w:p>
        </w:tc>
        <w:tc>
          <w:tcPr>
            <w:tcW w:w="1666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2022</w:t>
            </w:r>
          </w:p>
        </w:tc>
        <w:tc>
          <w:tcPr>
            <w:tcW w:w="1662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2023</w:t>
            </w:r>
          </w:p>
        </w:tc>
        <w:tc>
          <w:tcPr>
            <w:tcW w:w="1658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2024</w:t>
            </w:r>
          </w:p>
        </w:tc>
        <w:tc>
          <w:tcPr>
            <w:tcW w:w="180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Изменение 2024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/2022</w:t>
            </w:r>
          </w:p>
        </w:tc>
      </w:tr>
      <w:tr>
        <w:trPr/>
        <w:tc>
          <w:tcPr>
            <w:tcW w:w="9344" w:type="dxa"/>
            <w:gridSpan w:val="5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Производственные показатели</w:t>
            </w:r>
          </w:p>
        </w:tc>
      </w:tr>
      <w:tr>
        <w:trPr/>
        <w:tc>
          <w:tcPr>
            <w:tcW w:w="254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Производство стали, млн тонн</w:t>
            </w:r>
          </w:p>
        </w:tc>
        <w:tc>
          <w:tcPr>
            <w:tcW w:w="1666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10,7</w:t>
            </w:r>
          </w:p>
        </w:tc>
        <w:tc>
          <w:tcPr>
            <w:tcW w:w="1662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11,27</w:t>
            </w:r>
          </w:p>
        </w:tc>
        <w:tc>
          <w:tcPr>
            <w:tcW w:w="1658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10,38</w:t>
            </w:r>
          </w:p>
        </w:tc>
        <w:tc>
          <w:tcPr>
            <w:tcW w:w="180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-0,32</w:t>
            </w:r>
          </w:p>
        </w:tc>
      </w:tr>
      <w:tr>
        <w:trPr/>
        <w:tc>
          <w:tcPr>
            <w:tcW w:w="254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Производство чугуна, млн тонн</w:t>
            </w:r>
          </w:p>
        </w:tc>
        <w:tc>
          <w:tcPr>
            <w:tcW w:w="1666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11,0</w:t>
            </w:r>
          </w:p>
        </w:tc>
        <w:tc>
          <w:tcPr>
            <w:tcW w:w="1662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11,3</w:t>
            </w:r>
          </w:p>
        </w:tc>
        <w:tc>
          <w:tcPr>
            <w:tcW w:w="1658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10,03</w:t>
            </w:r>
          </w:p>
        </w:tc>
        <w:tc>
          <w:tcPr>
            <w:tcW w:w="180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-0,97</w:t>
            </w:r>
          </w:p>
        </w:tc>
      </w:tr>
      <w:tr>
        <w:trPr/>
        <w:tc>
          <w:tcPr>
            <w:tcW w:w="254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Продажи металлопродукции, млн тонн</w:t>
            </w:r>
          </w:p>
        </w:tc>
        <w:tc>
          <w:tcPr>
            <w:tcW w:w="1666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10,9</w:t>
            </w:r>
          </w:p>
        </w:tc>
        <w:tc>
          <w:tcPr>
            <w:tcW w:w="1662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10,73</w:t>
            </w:r>
          </w:p>
        </w:tc>
        <w:tc>
          <w:tcPr>
            <w:tcW w:w="1658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10,85</w:t>
            </w:r>
          </w:p>
        </w:tc>
        <w:tc>
          <w:tcPr>
            <w:tcW w:w="180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-0,05</w:t>
            </w:r>
          </w:p>
        </w:tc>
      </w:tr>
      <w:tr>
        <w:trPr/>
        <w:tc>
          <w:tcPr>
            <w:tcW w:w="254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Доля продукции с ВДС, %</w:t>
            </w:r>
          </w:p>
        </w:tc>
        <w:tc>
          <w:tcPr>
            <w:tcW w:w="1666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н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/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д</w:t>
            </w:r>
          </w:p>
        </w:tc>
        <w:tc>
          <w:tcPr>
            <w:tcW w:w="1662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49%</w:t>
            </w:r>
          </w:p>
        </w:tc>
        <w:tc>
          <w:tcPr>
            <w:tcW w:w="1658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52%</w:t>
            </w:r>
          </w:p>
        </w:tc>
        <w:tc>
          <w:tcPr>
            <w:tcW w:w="180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+3 п.п.</w:t>
            </w:r>
          </w:p>
        </w:tc>
      </w:tr>
      <w:tr>
        <w:trPr/>
        <w:tc>
          <w:tcPr>
            <w:tcW w:w="9344" w:type="dxa"/>
            <w:gridSpan w:val="5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Финансовые показатели</w:t>
            </w:r>
          </w:p>
        </w:tc>
      </w:tr>
      <w:tr>
        <w:trPr/>
        <w:tc>
          <w:tcPr>
            <w:tcW w:w="254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Выручка, млрд руб.</w:t>
            </w:r>
          </w:p>
        </w:tc>
        <w:tc>
          <w:tcPr>
            <w:tcW w:w="1666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682,2</w:t>
            </w:r>
          </w:p>
        </w:tc>
        <w:tc>
          <w:tcPr>
            <w:tcW w:w="1662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728,3</w:t>
            </w:r>
          </w:p>
        </w:tc>
        <w:tc>
          <w:tcPr>
            <w:tcW w:w="1658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829,8</w:t>
            </w:r>
          </w:p>
        </w:tc>
        <w:tc>
          <w:tcPr>
            <w:tcW w:w="180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+147,6</w:t>
            </w:r>
          </w:p>
        </w:tc>
      </w:tr>
      <w:tr>
        <w:trPr/>
        <w:tc>
          <w:tcPr>
            <w:tcW w:w="254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EBITDA, млрд руб.</w:t>
            </w:r>
          </w:p>
        </w:tc>
        <w:tc>
          <w:tcPr>
            <w:tcW w:w="1666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214,3</w:t>
            </w:r>
          </w:p>
        </w:tc>
        <w:tc>
          <w:tcPr>
            <w:tcW w:w="1662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262,2</w:t>
            </w:r>
          </w:p>
        </w:tc>
        <w:tc>
          <w:tcPr>
            <w:tcW w:w="1658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237,9</w:t>
            </w:r>
          </w:p>
        </w:tc>
        <w:tc>
          <w:tcPr>
            <w:tcW w:w="180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+23,6</w:t>
            </w:r>
          </w:p>
        </w:tc>
      </w:tr>
      <w:tr>
        <w:trPr/>
        <w:tc>
          <w:tcPr>
            <w:tcW w:w="254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Чистая прибыль, млрд руб.</w:t>
            </w:r>
          </w:p>
        </w:tc>
        <w:tc>
          <w:tcPr>
            <w:tcW w:w="1666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108,4</w:t>
            </w:r>
          </w:p>
        </w:tc>
        <w:tc>
          <w:tcPr>
            <w:tcW w:w="1662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193,9</w:t>
            </w:r>
          </w:p>
        </w:tc>
        <w:tc>
          <w:tcPr>
            <w:tcW w:w="1658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149,6</w:t>
            </w:r>
          </w:p>
        </w:tc>
        <w:tc>
          <w:tcPr>
            <w:tcW w:w="180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+41,2</w:t>
            </w:r>
          </w:p>
        </w:tc>
      </w:tr>
      <w:tr>
        <w:trPr/>
        <w:tc>
          <w:tcPr>
            <w:tcW w:w="254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Капитальные затраты (CAPEX), млрд руб.</w:t>
            </w:r>
          </w:p>
        </w:tc>
        <w:tc>
          <w:tcPr>
            <w:tcW w:w="1666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67,9</w:t>
            </w:r>
          </w:p>
        </w:tc>
        <w:tc>
          <w:tcPr>
            <w:tcW w:w="1662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72,6</w:t>
            </w:r>
          </w:p>
        </w:tc>
        <w:tc>
          <w:tcPr>
            <w:tcW w:w="1658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118,5</w:t>
            </w:r>
          </w:p>
        </w:tc>
        <w:tc>
          <w:tcPr>
            <w:tcW w:w="180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+50,6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Производственные показатели [2; 3].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В 2023 году компания восстановила объемы производства после серьезного спада в 2022 году, вызванного геополитическими факторами и нарушением поставок и отгрузок. Производство стали выросло на 5% относительно 2022 года, достигнув 11,27 млн тонн. Однако в 2024 году произошло снижение объемов выплавки чугуна на 11% и стали на 8% к 2023 году. Данная динамика обусловлена капитальным ремонтом печи №4(ДП-4) «Вологжанка» на Череповецком металлургическом комбинате. 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Несмотря на снижение объёмов производства, продажи остались на стабильном уровне к 2024 году, что говорит об эффективном управлении и хорошо выстроенному сбыту. Позитивным фактором в плохой ситуации стал рост доли продукции с высокой добавочной стоимости с 49% в 2023 году до 52% в 2024 году. Это отражает стремление компании в сторону высокомаржинальных продуктов.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Финансовые показатели [2; 3; 4].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Выручка компании демонстрирует положительную динамику на протяжении рассматриваемого периода: рост составил на 7% в 2023 году и 14% в 2024 году. По итогам 2024 года выручка достигла 829,9 млрд. рублей, что на 147,6 млрд. рублей превышает уровень 2022 года. Основной причиной роста стали переориентация компании на внутренний рынок и увеличение доли продукции с высокой добавочной стоимости.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Показатель </w:t>
      </w:r>
      <w:r>
        <w:rPr>
          <w:rFonts w:cs="Times New Roman" w:ascii="Times New Roman" w:hAnsi="Times New Roman"/>
          <w:sz w:val="28"/>
          <w:szCs w:val="28"/>
          <w:lang w:val="en-US"/>
        </w:rPr>
        <w:t>EBITDA</w:t>
      </w:r>
      <w:r>
        <w:rPr>
          <w:rFonts w:cs="Times New Roman" w:ascii="Times New Roman" w:hAnsi="Times New Roman"/>
          <w:sz w:val="28"/>
          <w:szCs w:val="28"/>
        </w:rPr>
        <w:t xml:space="preserve"> вырос в 2023 году до 262,2 млрд. рублей, что на 22% больше результатов 2022 года, однако в 2024 году снизился до 237,9 млрд. рублей. Негативная динамика связана с опережающим ростом себестоимости производства вследствие увеличения цен на товары и услуги, роста фонда оплаты труда, приобретение новых активов.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Чистая прибыль компании в 2023 году продемонстрировала почти двукратный рост в 79% к 2022 году, что связано с восстановлением объемов производства. В 2024 году показатель снизился до 149,6 млрд. рублей, что коррелирует с динамикой </w:t>
      </w:r>
      <w:r>
        <w:rPr>
          <w:rFonts w:cs="Times New Roman" w:ascii="Times New Roman" w:hAnsi="Times New Roman"/>
          <w:sz w:val="28"/>
          <w:szCs w:val="28"/>
          <w:lang w:val="en-US"/>
        </w:rPr>
        <w:t>EBITDA</w:t>
      </w:r>
      <w:r>
        <w:rPr>
          <w:rFonts w:cs="Times New Roman" w:ascii="Times New Roman" w:hAnsi="Times New Roman"/>
          <w:sz w:val="28"/>
          <w:szCs w:val="28"/>
        </w:rPr>
        <w:t>, увеличением капитальных затрат и ростом налоговой нагрузки.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Для анализа долговой нагрузки был рассчитан показатель «долг/</w:t>
      </w:r>
      <w:r>
        <w:rPr>
          <w:rFonts w:cs="Times New Roman" w:ascii="Times New Roman" w:hAnsi="Times New Roman"/>
          <w:sz w:val="28"/>
          <w:szCs w:val="28"/>
          <w:lang w:val="en-US"/>
        </w:rPr>
        <w:t>EBIT</w:t>
      </w:r>
      <w:r>
        <w:rPr>
          <w:rFonts w:cs="Times New Roman" w:ascii="Times New Roman" w:hAnsi="Times New Roman"/>
          <w:sz w:val="28"/>
          <w:szCs w:val="28"/>
        </w:rPr>
        <w:t xml:space="preserve">». Показатель </w:t>
      </w:r>
      <w:r>
        <w:rPr>
          <w:rFonts w:cs="Times New Roman" w:ascii="Times New Roman" w:hAnsi="Times New Roman"/>
          <w:sz w:val="28"/>
          <w:szCs w:val="28"/>
          <w:lang w:val="en-US"/>
        </w:rPr>
        <w:t>EBIT</w:t>
      </w:r>
      <w:r>
        <w:rPr>
          <w:rFonts w:cs="Times New Roman" w:ascii="Times New Roman" w:hAnsi="Times New Roman"/>
          <w:sz w:val="28"/>
          <w:szCs w:val="28"/>
        </w:rPr>
        <w:t xml:space="preserve"> рассчитан как </w:t>
      </w:r>
      <w:r>
        <w:rPr>
          <w:rFonts w:cs="Times New Roman" w:ascii="Times New Roman" w:hAnsi="Times New Roman"/>
          <w:sz w:val="28"/>
          <w:szCs w:val="28"/>
          <w:lang w:val="en-US"/>
        </w:rPr>
        <w:t>EBITDA</w:t>
      </w:r>
      <w:r>
        <w:rPr>
          <w:rFonts w:cs="Times New Roman" w:ascii="Times New Roman" w:hAnsi="Times New Roman"/>
          <w:sz w:val="28"/>
          <w:szCs w:val="28"/>
        </w:rPr>
        <w:t xml:space="preserve"> за вычетом амортизации. Данные по амортизации приняты на уровне 40 млрд. рублей ежегодно на основе показателя 2021 года, так как в отчётах за 2022 – 2024 гг. эта цифра не была раскрыта. Это показано в таблице 1.4 [2; 3; 4].</w:t>
      </w:r>
    </w:p>
    <w:p>
      <w:pPr>
        <w:pStyle w:val="Normal"/>
        <w:tabs>
          <w:tab w:val="clear" w:pos="709"/>
          <w:tab w:val="left" w:pos="0" w:leader="none"/>
          <w:tab w:val="left" w:pos="113" w:leader="none"/>
        </w:tabs>
        <w:spacing w:lineRule="auto" w:line="360" w:before="0" w:after="1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1.4 — анализ долговой нагрузки ПАО «Северсталь»</w:t>
      </w:r>
    </w:p>
    <w:tbl>
      <w:tblPr>
        <w:tblW w:w="934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868"/>
        <w:gridCol w:w="1869"/>
        <w:gridCol w:w="1869"/>
        <w:gridCol w:w="1869"/>
        <w:gridCol w:w="1869"/>
      </w:tblGrid>
      <w:tr>
        <w:trPr/>
        <w:tc>
          <w:tcPr>
            <w:tcW w:w="1868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Показатель</w:t>
            </w:r>
          </w:p>
        </w:tc>
        <w:tc>
          <w:tcPr>
            <w:tcW w:w="186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2022</w:t>
            </w:r>
          </w:p>
        </w:tc>
        <w:tc>
          <w:tcPr>
            <w:tcW w:w="186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2023</w:t>
            </w:r>
          </w:p>
        </w:tc>
        <w:tc>
          <w:tcPr>
            <w:tcW w:w="186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2024</w:t>
            </w:r>
          </w:p>
        </w:tc>
        <w:tc>
          <w:tcPr>
            <w:tcW w:w="186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Изменение 2024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/2022</w:t>
            </w:r>
          </w:p>
        </w:tc>
      </w:tr>
      <w:tr>
        <w:trPr/>
        <w:tc>
          <w:tcPr>
            <w:tcW w:w="1868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Совокупный долг, млрд. руб.</w:t>
            </w:r>
          </w:p>
        </w:tc>
        <w:tc>
          <w:tcPr>
            <w:tcW w:w="186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163,1</w:t>
            </w:r>
          </w:p>
        </w:tc>
        <w:tc>
          <w:tcPr>
            <w:tcW w:w="186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108,5</w:t>
            </w:r>
          </w:p>
        </w:tc>
        <w:tc>
          <w:tcPr>
            <w:tcW w:w="186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134,9</w:t>
            </w:r>
          </w:p>
        </w:tc>
        <w:tc>
          <w:tcPr>
            <w:tcW w:w="186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-28,2</w:t>
            </w:r>
          </w:p>
        </w:tc>
      </w:tr>
      <w:tr>
        <w:trPr/>
        <w:tc>
          <w:tcPr>
            <w:tcW w:w="1868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EBIT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, млрд. руб.</w:t>
            </w:r>
          </w:p>
        </w:tc>
        <w:tc>
          <w:tcPr>
            <w:tcW w:w="186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174,3</w:t>
            </w:r>
          </w:p>
        </w:tc>
        <w:tc>
          <w:tcPr>
            <w:tcW w:w="186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222,2</w:t>
            </w:r>
          </w:p>
        </w:tc>
        <w:tc>
          <w:tcPr>
            <w:tcW w:w="186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197,9</w:t>
            </w:r>
          </w:p>
        </w:tc>
        <w:tc>
          <w:tcPr>
            <w:tcW w:w="186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+23,6</w:t>
            </w:r>
          </w:p>
        </w:tc>
      </w:tr>
      <w:tr>
        <w:trPr/>
        <w:tc>
          <w:tcPr>
            <w:tcW w:w="1868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Отношение Долг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/EBIT</w:t>
            </w:r>
          </w:p>
        </w:tc>
        <w:tc>
          <w:tcPr>
            <w:tcW w:w="186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0,94</w:t>
            </w:r>
          </w:p>
        </w:tc>
        <w:tc>
          <w:tcPr>
            <w:tcW w:w="186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0,49</w:t>
            </w:r>
          </w:p>
        </w:tc>
        <w:tc>
          <w:tcPr>
            <w:tcW w:w="186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0,68</w:t>
            </w:r>
          </w:p>
        </w:tc>
        <w:tc>
          <w:tcPr>
            <w:tcW w:w="186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-0,26</w:t>
            </w:r>
          </w:p>
        </w:tc>
      </w:tr>
    </w:tbl>
    <w:p>
      <w:pPr>
        <w:pStyle w:val="Normal"/>
        <w:spacing w:lineRule="auto" w:line="360"/>
        <w:ind w:hanging="0" w:star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680" w:start="0" w:end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Как видно из таблицы 1.4. показатель «Долг/</w:t>
      </w:r>
      <w:r>
        <w:rPr>
          <w:rFonts w:cs="Times New Roman" w:ascii="Times New Roman" w:hAnsi="Times New Roman"/>
          <w:sz w:val="28"/>
          <w:szCs w:val="28"/>
          <w:lang w:val="en-US"/>
        </w:rPr>
        <w:t>EBIT</w:t>
      </w:r>
      <w:r>
        <w:rPr>
          <w:rFonts w:cs="Times New Roman" w:ascii="Times New Roman" w:hAnsi="Times New Roman"/>
          <w:sz w:val="28"/>
          <w:szCs w:val="28"/>
        </w:rPr>
        <w:t xml:space="preserve">» на протяжении всего периода находится на довольно низком уровне, что говорит о небольшой долговой нагрузке, что в период высокой ключевой ставки является хорошим показателем. В 2022 году значение показателя составило 0,94, что связано с увеличением совокупного долга. В 2023 году наблюдается снижение показателя до 0,49 благодаря росту </w:t>
      </w:r>
      <w:r>
        <w:rPr>
          <w:rFonts w:cs="Times New Roman" w:ascii="Times New Roman" w:hAnsi="Times New Roman"/>
          <w:sz w:val="28"/>
          <w:szCs w:val="28"/>
          <w:lang w:val="en-US"/>
        </w:rPr>
        <w:t>EBIT</w:t>
      </w:r>
      <w:r>
        <w:rPr>
          <w:rFonts w:cs="Times New Roman" w:ascii="Times New Roman" w:hAnsi="Times New Roman"/>
          <w:sz w:val="28"/>
          <w:szCs w:val="28"/>
        </w:rPr>
        <w:t xml:space="preserve"> и сокращению долга. В 2024 году показатель вырос до 0,68, что обусловлено увеличением долго для инвестиционной программы.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Несмотря на снижение производственных показателей в 2024 году из-за крупного ремонта, компания сохранила финансовую устойчивость. Рост выручки и доли продуктов с высокой добавочной стоимостью говорит об успешной адаптации бизнеса к текущим сложным рыночным условиям и тяжелой геополитической обстановкой.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1.10. Организационная структура предприятия и физическая схема их расположения.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На рисунке 1.4 представлена организационная структура управления ПАО «Северсталь», построенная на основе анализа данных Интегрированного отчета компании за 2024 год [4]. Данная структура отражает иерархию подчинения от высших органов управления до ключевых производственных и функциональных подразделений.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/>
        <w:drawing>
          <wp:inline distT="0" distB="0" distL="0" distR="0">
            <wp:extent cx="4476750" cy="8343900"/>
            <wp:effectExtent l="0" t="0" r="0" b="0"/>
            <wp:docPr id="4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2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834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Рис.1.4. Организационная структура ПАО «Северсталь»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1.11. Стандарты оперативного, среднесрочного, стратегического управления предприятием.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Стратегическое управление в ПАО «Северсталь» реализуется через систему долгосрочного планирования, ключевым документом которой является Стратегия развития компании на 2024–2028 годы. В отчетном году компания представила обновленную стратегию, сохранив ее фундаментальные принципы, но дополнив новыми элементами. Стратегия определяет пять ключевых элементов [4, с. 15-16]: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1) Лидер безопасности труда и экологии - сохранение жизни и здоровья сотрудников и жителей регионов, соблюдение законодательства. Ключевые метрики: ноль смертельных случаев, показатель LTIFR среди сотрудников &lt;0,45, снижение выбросов загрязняющих веществ на 46%.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2) Лидер качества жизни сотрудников - быть надежным работодателем, который ценит каждого сотрудника и заботится о нем и его близких. Ключевая метрика - работодатель в регионах присутствия №1.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3) Лидер в работе с клиентами - первыми приходить на ум, когда речь идет о металлопродукции. Ключевая метрика - доля рынка в РФ в ключевых сегментах 20%.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4) Лидер в цифровых технологиях - создание преимущества перед конкурентами как в работе на рынках, так и в повышении эффективности. Ключевая метрика - повышение производительности труда, создание дополнительного источника EBITDA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5) Лидер по себестоимости - укрепление мирового лидерства по себестоимости экологичным способом. Ключевая метрика - обеспечение отрыва по сквозной себестоимости конвертерного сляба от ближайшего конкурента на 15%.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Разработка и утверждение стратегии находятся в компетенции Совета директоров, который рассматривает отчеты о ее реализации и при необходимости корректирует целевые показатели.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Среднесрочное управление охватывает планирование от одного до трёх лет. В рамках планирования компания утверждает целевые экологические программы, направленные на снижение воздействия на окружающую среду и распределение финансирования по годам [4, с.70-75]. Ответственность за исполнение среднесрочных планов несут руководители дивизионов и дирекций.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Оперативное планирование на предприятии представляет собой систему управления на горизонте года с детализацией до квартала, месяца, недели и смены, цель которой - обеспечить выполнение производственных и сбытовых задач при соблюдении бюджетных ограничений и требований по безопасности. В рамках оперативного планирования утверждается годовой бюджет и годовые целевые показатели, после чего формируются календарные планы производства и отгрузок, графики ремонтов и остановок оборудования, планы закупок и снабжения, а также логистические планы по перевозкам и складированию [4, с.29, 95-96, 144-146]. Далее управление строится как регулярный цикл контроля исполнения, а итогом является обеспечение выполнения годовых целей и поддержание устойчивости процессов при изменении внешних условий.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Деятельность ПАО «Северсталь» в области качества, охраны труда и устойчивого развития регламентируется совокупностью международных стандартов менеджмента, внедрённых на предприятиях компании. На производственных и обеспечивающих процессах действует система менеджмента качества, соответствующая требованиям стандарта ISO 9001:2015; для автомобильной промышленности используется отраслевой стандарт IATF 16949:2016, а для железнодорожной отрасли – стандарт ISO 22163:2023, применяемый к профильным видам продукции и активам. В области охраны труда и промышленной безопасности функционирует система менеджмента, сертифицированная по стандарту ISO 45001, которая охватывает ключевые производственные площадки и связывается с целевыми показателями по снижению травматизма в рамках стратегии компании на 2024–2028 годы [4, с. 15–16, 32–34, 95–96, 144–146]. 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Таким образом, система управления ПАО «Северсталь» представляет собой трехуровневую иерархию (стратегический – среднесрочный – оперативный), подкрепленную международными стандартами менеджмента, что обеспечивает устойчивое развитие компании и достижение поставленных целей.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1.12.</w:t>
      </w:r>
      <w:r>
        <w:rPr>
          <w:b/>
          <w:bCs/>
        </w:rPr>
        <w:t xml:space="preserve"> </w:t>
      </w:r>
      <w:r>
        <w:rPr>
          <w:rFonts w:cs="Times New Roman" w:ascii="Times New Roman" w:hAnsi="Times New Roman"/>
          <w:b/>
          <w:bCs/>
          <w:sz w:val="28"/>
          <w:szCs w:val="28"/>
        </w:rPr>
        <w:t>Логическая и физическая схема компьютерной сети предприятия.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Для обеспечения бесперебойной работы распределенных производственных и управляющих структур ПАО «Северсталь» используется многоуровневая корпоративная сеть передачи данных. Сеть построена по иерархическому принципу с выделением центрального узла (ЦОД в Москве) и резервного центра (г. Череповец). Логическая структура сети обеспечивает сегментацию корпоративных и промышленных сетей, а также защищенный доступ для удаленных сотрудников через VPN. На основе общих принципов построения корпоративных сетей и данных Интегрированного отчета ПАО «Северсталь» за 2024 год [4] показана логическая схема компьютерной сети ПАО «Северсталь» на рисунке 1.5.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4010025" cy="67818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6781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Рис.1.5. Логическая схема компьютерной сети ПАО «Северсталь»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1.13. Состав и структура действующей информационной системы.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ПАО «Северсталь» функционирует комплексная информационная система, построенная модульно и охватывающая все уровни управления. Информационная система включает несколько взаимосвязанных подсистем, обеспечивающих автоматизацию различных направлений деятельности компании [4, с. 52–54].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Корпоративные системы. Основу информационной системы составляют системы управления ресурсами предприятия, которые объединяют данные о финансах, производстве, закупках и сбыте. Для взаимодействия с поставщиками используется единая автоматизированная система управления закупками, обеспечивающая контроль исполнения договоров и учет взаиморасчетов с контрагентами [4, с. 58–60]. Для обработки данных и поддержки принятия решений применяются системы бизнес-аналитики, позволяющие формировать отчетность в режиме реального времени [4, с. 58–62].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Производственные системы. Управление технологическими процессами производится с помощью автоматизированных систем управления и диспетчерских систем сбора данных, которые обеспечивают точный контроль за работой оборудования в доменном, сталеплавильном и прокатном производствах. Для управления производственными задачами в цехах используются системы управления производственными процессами [4, с. 60–62].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Контроль качества: внедрены автоматизированные системы, контролирующие качество выпускаемой продукции, а также компьютерное зрение для выявления брака на этапе производства [3, с. 56–59]. 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Для координации проектной деятельности в компании используются системы управления проектами, которые позволяют удобно вести несколько проектов одновременно, отслеживать выполнение задач, учитывать временные затраты каждого сотрудника [3, с. 92–95].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Управление охраной труда. В компании действует комплекс для контроля охраны труда. Он обеспечивает управление происшествиями, безопасностью рабочих [4, с. 146].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Клиентские сервисы. Для взаимодействия с заказчиками существует мобильное приложение Checksteel. Оно обеспечивает контроль качества продукции и делает удобным взаимодействие с конечным покупателем [4, с. 82].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Информационная безопасность. Защита информации обеспечивается межсетевыми экранами, системами обнаружения вторжений и предотвращения утечек данных. Это было показано в логической схеме компьютерной сети предприятия [3, с. 49–50].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1.14. Актуальные проблемы и новые проекты предприятия.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Ключевыми проблемами, выделенными ПАО «Северсталь» в отчетах являются дефицит квалифицированных кадров в регионах пребывания, необходимость импортозамещения технологий, рост кибератак на предприятие и конкретных сотрудников, производственный травматизм [4, с. 15, 44–48].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Для решения этих проблем компания реализует множество проектов в различных направлениях ее деятельности. 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Так, в производственной сфере ключевым является строительство комплекса по производству железорудных окатышей на ЧерМК – запуск планируется в 2026 году, а также капитальный ремонт доменной печи №5 [4, с. 29, 176–179].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экологической сфере «Северсталь» снижает выбросы в атмосферу, реализует проекты по повышению энергоэффективности и созданию карбоновых полигонов [4, с. 183–187, 199-203].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Также в цифровой сфере и кибербезопасности разрабатывается платформа для управления производственными процессами «Металлургия», внедряются системы искусственного интеллекта и компьютерного зрения для контроля качества и безопасности. Для защиты от киберугроз действуют межсетевые экраны, системы обнаружения вторжений и предотвращения утечек данных, позволяющие ежемесячно отражать тысячи кибератак [4, с. 52–54, 58–66].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В области охраны труда действует комплекс «Контроль охраны труда», который охватывает более 37 тысяч сотрудников [4, с. 142–146]. 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Анализ проблем и текущих проектов ПАО «Северсталь» показывает, что две ключевые угрозы компании – кибербезопасность и охрана труда. Они всегда зависят от уровня осведомленности сотрудников и человеческого фактора. Компания официально признает проблемы: в отчетах за 2022 и 2023 годы имели место смертельные случаи на производстве, а количество отражаемых кибератак – более 3000 ежемесячно [2; 3]. Существующие системы позволяют фиксировать нарушения и отражать атаки, однако они ориентированы на реагирование на уже произошедший инцидент, а не на профилактику для сотрудников. Это подтверждает необходимость разработки инструментов, направленных на повышении компетенции сотрудников в сфере кибербезопасности и охраны труда, чтобы предотвращать нарушения еще на этапе обучения. 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2.</w:t>
        <w:tab/>
        <w:t>Реинжиниринг бизнес-процессов предприятия и стандарт управления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2.1.</w:t>
      </w:r>
      <w:r>
        <w:rPr/>
        <w:t xml:space="preserve"> </w:t>
      </w:r>
      <w:r>
        <w:rPr>
          <w:rFonts w:cs="Times New Roman" w:ascii="Times New Roman" w:hAnsi="Times New Roman"/>
          <w:b/>
          <w:bCs/>
          <w:sz w:val="28"/>
          <w:szCs w:val="28"/>
        </w:rPr>
        <w:t>Цели, принципы, методы и инструменты реинжиниринга бизнес-процессов.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Неотъемлемым требованием проектирования информационной системы является предварительное моделирование и оптимизация бизнес-процессов – реинжиниринг для уже существующих предприятий. Реинжиниринг бизнес-процессов представляет собой перестройку, перепроектирование бизнес-процессов с целью совершенствования деятельности предприятия, организации. Это фундаментальное переосмысление и радикальное перепроектирование бизнес-процессов для достижения существенных улучшений в ключевых показателях результативности. 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Основной целью реинжиниринга бизнес-процессов предприятий является проектирование такой системы управления процессами предприятия, которая обеспечивает разработку стандарта управления. Стандарт управления предприятием представляет собой документированную процедуру решения бизнес-задач и включает в себя технологию управления, правила и законы принятия решений. Этот стандарт определяет положения стандартов оперативного, среднесрочного, стратегического управления и менеджмента качества на предприятии.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Бизнес-процесс – это сегмент деятельности предприятия, формирующий поток создания стоимости и обладающий восемью свойствами.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Бизнес-задача – это уникальный элемент бизнес-процесса, создающий бизнес-продукт и обладающий теми же восемью свойствами.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Бизнес-продукт – материальный или информационный продукт в деятельности предприятия как результат решения бизнес-задачи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основе реинжиниринга лежит процессно-ориентированная концепция бизнеса, базирующаяся на следующих ключевых положениях: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1) Предприятие или бизнес представляет систему последовательно-параллельно взаимосвязанных бизнес-процессов, бизнес-процессы представляют систему последовательно-параллельно взаимосвязанных бизнес-задач.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2) Любой бизнес-процесс, бизнес-задача имеют входной поток используемых ресурсов (материальных, информационных, трудовых и др.).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3) Каждый бизнес-процесс, бизнес-задача имеют свои внутренние правила, алгоритмы, законы и технологию преобразования входов в выходы.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4) Бизнес-процесс, бизнес-задача имеют выходной продукт (поток).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5) Связи между бизнес-процессами реализуются как связи между бизнес-задачами.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6) Бизнес-процесс, бизнес-задача имеют свою систему показателей эффективности. Эти показатели эффективности характеризуют выходные их продукты.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7) Бизнес-процесс, бизнес-задача имеют исполнителя, владельца.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Процессно-задачный подход при выделении бизнес-процессов и бизнес-задач использует следующие принципы: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1) Полноты состава бизнес-процессов, бизнес-задач.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2) Детерминированности содержания каждого бизнес-процесса, бизнес-задачи.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3) Нормализованности - отсутствии пересечения задач бизнес-процессов.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4) Связанности бизнес-процессов и бизнес-задач, то есть наличие у них не менее одной связи с другими бизнес-процессами, бизнес-задачами.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5) Автономности - логической завершенности бизнес-процесса, бизнес-задачи.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6) Ресурсоемкости - наличия входных ресурсов.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7) Продуктивности - наличия выходного продукта.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8) Динамичности - зависимости входных ресурсов, внутренних правил, алгоритмов, законов и технологий, следовательно, и выходного продукта от времени.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Бизнес-задачи классифицируются на четыре основных класса: аналитические – создают план; организационные; технические – создают продукты; учетные – фиксируют объемы производства.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Бизнес-процессы, существующие на предприятии, делятся на три группы: основные, вспомогательные и процессы управления. Типовой состав бизнес-процессов предприятия включает: подготовку производства, основное и вспомогательное производство, материально-техническое обеспечение, маркетинг, сбыт, финансы, бухгалтерский учет, обеспечение трудовыми ресурсами, энергетическое и транспортное обеспечение, ремонтное обеспечение, информационное обеспечение и управление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Основные этапы реинжиниринга бизнес-процессов для создания стандартов управления включают: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1) Определение цели, задач и состава бизнес-процессов.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2) Классификация задач бизнес-процессов.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3) Определение исполнителей задач.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4) Построение организационно-логической сущности бизнес-процессов, отражающей логические и временные связи задач.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5) Создание продуктовой модели бизнес-процессов и схемы информационных потоков.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6) Разработка алгоритмов и методов решения бизнес-задач.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7) Определение показателей эффективности бизнес-процессов и бизнес-задач.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8) Разработка стандартов решения бизнес-задач и стандартов управления бизнес-процессами.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соответствии с изложенной методологией, во второй главе данной работы будет проведен реинжиниринг бизнес-процессов ПАО «Северсталь», определен их состав, выполнена классификация задач и построены необходимые модели.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2.2. Бизнес-процессы предприятия, их цели, описание, владельцы и целевые бизнес-продукты.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В таблице 2.1 представлен типовой состав основных бизнес-процессов ПАО «Северсталь», выделенных на основе перечня [6] и адаптированных под организационную структуру компании.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2.1 — б</w:t>
      </w:r>
      <w:r>
        <w:rPr>
          <w:rFonts w:ascii="Times New Roman" w:hAnsi="Times New Roman"/>
          <w:sz w:val="28"/>
          <w:szCs w:val="28"/>
        </w:rPr>
        <w:t>изнес-процессы предприятия, их цели, описание, владельцы и целевые бизнес-продукты</w:t>
      </w:r>
    </w:p>
    <w:tbl>
      <w:tblPr>
        <w:tblW w:w="934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850"/>
        <w:gridCol w:w="2222"/>
        <w:gridCol w:w="1838"/>
        <w:gridCol w:w="1812"/>
        <w:gridCol w:w="2622"/>
      </w:tblGrid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№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Наименование БП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Кол-во и наименование подпроцессов</w:t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Владелец процесса</w:t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Цели, целевые продукты, описание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Подготовка производства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</w:t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Дирекция по техническому развитию и качеству</w:t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Обеспечивает развитие производства, улучшение качества выпускаемой продукции, внедрение новых технологий. Результатом является готовая к запуску технология или новый вид продукции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1.1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Конструкторская подготовка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Разработка конструкторской документации на новую продукцию, патентование изобретений, конструирование образцов. Результатом являются патенты, конструкторская документация.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1.2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Технологическая подготовка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Разработка технологических маршрутов производства, нормирование расхода материалов, подготовка технологических карт. Результатом является технологическая документация.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1.3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Техническая подготовка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Подготовка и модернизация производственного оборудования, монтаж новых технологических линий. Результатом являются готовые к эксплуатации производственные мощности.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Основное производство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</w:t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Директор дивизиона «Северсталь Российская сталь» / Директор дивизиона «Северсталь Ресурс»</w:t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Данный процесс направлен на реализацию производственной программы в части добычи сырья и производства металлопродукции. Результирующим продуктом является готовая металлопродукция: чугун, сталь, прокат, трубы и метизы.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2.1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Сегмент основного производства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Добыча железной руды, производство железорудного концентрата, выплавка чугуна и стали на ЧерМК, производство проката, труб, метизной продукции.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Вспомогательное производство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4</w:t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Главный инженер</w:t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Обеспечивает бесперебойную работу производства.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3.1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Ремонтное обеспечение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Техническое обслуживание и ремонт оборудования, зданий и сооружений производства.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3.2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Энергетическое обеспечение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Выработка и распределение электроэнергии, контроль за работой собственных ТЭЦ для достижения 95% генерации электроэнергии к 2030 году.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3.3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Транспортное обеспечение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Перевозки сырья и доставка готовой продукции конечному потребителю, управление транспортным потоком.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3.4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Обеспечение экологической безопасности и охрана окружающей среды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Контроль выбросов и сбросов, снижение негативного воздействия на окружающую среду, обеспечение экологических стандартов производства.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4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Материально-техническое обеспечение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</w:t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Директор по закупкам и логистике</w:t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Своевременное обеспечение производства сырьем, материалами и необходимым оборудованием.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4.1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Обеспечение складских запасов (закупочная, транспортная и складская логистика)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Поиск и подбор выгодных поставщиков, проведение тендеров, заключение договоров, контроль поставок.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4.2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Обеспечение ресурсами рабочих мест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Доставка материальных ресурсов на склады, учёт движения материалов, нормирование и инвентаризация складских запасов.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5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Маркетинг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</w:t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Директор по маркетингу</w:t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Повышение узнаваемости бренда, реклама, изучение потребительского рынка.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5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.1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Целевые сегменты рынка сбыта (покупателей)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Сегментирование рынка продукции, анализ рыночных тенденций, мониторинг конкурентов.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5.2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Продвижение продукции на целевых сегментах рынка сбыта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Разработка и проведение рекламных кампаний, участие в выставках и конференциях, анализ эффективности рекламы.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6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Сбыт и сервисное обслуживание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</w:t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Директор по продажам</w:t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Реализация продукции и обеспечение гарантийным и постгарантийным обслуживанием покупателей.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6.1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Сбыт продукции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Формирование плана продаж, обработка заказов клиентов, заключение договоров, оформление отгрузочных документов.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6.2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Сервисное обслуживание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 xml:space="preserve">Работа с клиентами через приложение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Checksteel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, оформление претензионного обращения с минимальным документооборотом, мониторинг статуса заказа через личный кабинет.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7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Финансы и бухгалтерский учет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</w:t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Заместитель генерального директора по финансам и экономике</w:t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Обеспечение финансовой стабильности, прогнозируемости, учет активов и контроль за ними.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7.1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Финансовое планирование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Составление бюджетов организации, управление денежными потоками, инвестиционное планирование.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7.2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Бухгалтерский учет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Учет хозяйственных операций, расчет себестоимости, подготовка отчетности по МСФО, учёт основных средств и амортизации.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7.3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Налоговый учет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Расчет и уплата налогов, взаимодействие с федеральной налоговой службой.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8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Обеспечение трудовыми ресурсами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</w:t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Директор по работе с персоналом</w:t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Обеспечение квалифицированным персоналом и безопасными условиями труда для него.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8.1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Кадровое обеспечение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ascii="Times New Roman" w:hAnsi="Times New Roman"/>
                <w:kern w:val="0"/>
                <w:sz w:val="28"/>
                <w:szCs w:val="28"/>
                <w:lang w:eastAsia="en-US" w:bidi="ar-SA"/>
              </w:rPr>
              <w:t>Планирование потребности в персонале, поиск и подбор кандидатов, оформление приёма на работу, организация адаптации новых сотрудников.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8.2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Обучение и повышение квалификации работников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Выявление потребности в обучении, планирование и организация обучающих мероприятий, оценка эффективности обучения.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8.3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Охрана труда, обеспечение условий деятельности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Проведение инструктажей по охране труда, контроль соблюдения норм безопасности, расследование несчастных случаев на производстве.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9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Информационное обеспечение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</w:t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ИТ-директор</w:t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Развитие ИТ-инфраструктуры и защита корпоративной информации. Результатом являются работоспособные корпоративные системы (ERP, SRM) и защищённая информационная среда.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9.1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Обеспечение информационными ресурсами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Планирование развития ИТ-инфраструктуры, администрирование серверов и сетей, поддержка пользователей, разработка и сопровождение ПО.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9.2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Обеспечение информационной безопасности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Управление доступом к информации, мониторинг угроз информационной безопасности, расследование инцидентов ИБ.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10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Управление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</w:t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Генеральный директор</w:t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Разработка стратегии развития и достижение поставленной цели и задач.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10.1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Стратегическое управление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Определение приоритетов развития до 2028 года.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10.2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Среднесрочное планирование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Планирование на 1-3 года на всех БП.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10.3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Оперативное управление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 xml:space="preserve">Управление на горизонте в 1 год, контроль за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KPI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, управление рисками.</w:t>
            </w:r>
          </w:p>
        </w:tc>
      </w:tr>
    </w:tbl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2.3. Бизнес-задачи и их исполнители, классификация.</w:t>
      </w:r>
    </w:p>
    <w:p>
      <w:pPr>
        <w:pStyle w:val="Normal"/>
        <w:spacing w:lineRule="auto" w:line="360" w:before="0" w:after="160"/>
        <w:ind w:firstLine="709"/>
        <w:jc w:val="both"/>
        <w:rPr>
          <w:rFonts w:ascii="Times New Roman" w:hAnsi="Times New Roman" w:cs="Times New Roman"/>
          <w:sz w:val="28"/>
          <w:szCs w:val="28"/>
        </w:r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  <w:r>
        <w:rPr>
          <w:rFonts w:cs="Times New Roman" w:ascii="Times New Roman" w:hAnsi="Times New Roman"/>
          <w:sz w:val="28"/>
          <w:szCs w:val="28"/>
        </w:rPr>
        <w:t>В результате декомпозиции бизнес-процессов, выделенных в пункте 2.2, определён состав бизнес-задач, решаемых в ПАО «Северсталь». Для каждой задачи установлен исполнитель и выполнена классификация. Классы задач: А — аналитические, О — организационные, Т — технологические, У — учётные. Состав задач представлен в таблице 2.2, сформированной на основе типового перечня [6] и адаптированной под организационную структуру и специфику деятельности компании.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2.2 – Бизнес-задачи и их исполнители, классификация</w:t>
      </w:r>
    </w:p>
    <w:tbl>
      <w:tblPr>
        <w:tblW w:w="14251" w:type="dxa"/>
        <w:jc w:val="start"/>
        <w:tblInd w:w="61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349"/>
        <w:gridCol w:w="6801"/>
        <w:gridCol w:w="3263"/>
        <w:gridCol w:w="2838"/>
      </w:tblGrid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№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Наименование задачи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Исполнитель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Класс задачи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Calibri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1. Подготовка производства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eastAsia="Calibri" w:cs="Times New Roman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1.1 Конструкторская подготовка производства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1.1.1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Учет заявок на конструкторские проектные работы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Технический 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1.1.2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Календарное планирование конструкторских проектных работ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Диспетчерский 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1.1.3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Формирование заказ-нарядов на конструкторские работы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Технический 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1.1.4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Разработка или уточнение технического задания на конструкторские работы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главного конструктора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1.1.5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Анализ проектных параметров продукции и проектных решений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главного конструктора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1.1.6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Разработка требований к унификации и стандартизации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стандартизации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1.1.7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Проектирование продукции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главного конструктора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1.1.8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Ведение производственной спецификации продукции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главного технолога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1.1.9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Учет конструкторской документации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Архив технической документации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1.1.10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Расчет и анализ показателей эффективности конструкторской подготовки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Экономический 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eastAsia="Calibri" w:cs="Times New Roman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1.2. Технологическая подготовка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1.2.1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Учет заявок на разработку технологических процессов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Технический 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1.2.2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Календарное планирование разработки технологических процессов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Диспетчерский 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1.2.3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Анализ технологического оборудования и мощностей предприятия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главного технолога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1.2.4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Формирование заказов на разработку технологических процессов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Технический 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1.2.5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Разработка технологических процессов, составление маршрутно-технологических карт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главного технолога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1.2.6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Нормирование технологических процессов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труда и заработной платы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1.2.7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Ведение производственной спецификации продукции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главного технолога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1.2.8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Проектирование специальной технологической оснастки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главного конструктора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1.2.9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Учет проектов технологических процессов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Архив технической документации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1.2.10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Расчет и анализ показателей эффективности технологической подготовки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Экономический 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eastAsia="Calibri" w:cs="Times New Roman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1.3. Техническая подготовка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1.3.1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Расчет и анализ загрузки производственных мощностей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Диспетчерский 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1.3.2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Расчет потребности в технологической оснастке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главного технолога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1.3.3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Календарное планирование технической подготовки производства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Диспетчерский 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1.3.4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Формирование заявок на ремонт оборудования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Ремонтная служба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1.3.5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Разработка технических заданий на изготовление или закупку оборудования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главного механика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1.3.6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Изготовление специальной технологической оснастки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Инструментальный цех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1.3.7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Монтаж оборудования и техническое оснащение производства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Ремонтно-механический цех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1.3.8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Формирование задания на опытное производство продукции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Технический 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1.3.9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Изготовление и испытание опытной партии продукции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Опытный цех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1.3.10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Учет выпуска продукции опытного производства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Бухгалтерия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Calibri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2. Основное производство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eastAsia="Calibri" w:cs="Times New Roman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2.1. Сегмент основного производства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2.1.1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Календарное планирование производства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Диспетчерский 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2.1.2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Формирование заданий (заказ-нарядов) на производство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Диспетчерская служба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2.1.3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Учет фактических объемов выпуска продукции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Производственный 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2.1.4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Контроль качества продукции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технического контроля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2.1.5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Учет брака и отклонений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технического контроля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Calibri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3. ВСПОМОГАТЕЛЬНОЕ ПРОИЗВОДСТВО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eastAsia="Calibri" w:cs="Times New Roman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3.1. Ремонтное обеспечение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3.1.1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Планирование капитального ремонта и обновления оборудования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главного механика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3.1.2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Формирование графиков проектно-производственных работ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главного механика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3.1.3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Учет выполненных ремонтов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Ремонтная служба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eastAsia="Calibri" w:cs="Times New Roman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3.2. Энергетическое обеспечение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3.2.1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Планирование потребности в энергоресурсах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главного энергетика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3.2.2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Обеспечение и доставка энергоресурсов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главного энергетика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3.2.3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Учет потребления энергоресурсов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главного энергетика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eastAsia="Calibri" w:cs="Times New Roman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3.3. Транспортное обеспечение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3.3.1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Планирование транспортных перевозок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Транспортный 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3.3.2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Внешние и внутренние перевозки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Диспетчерская служба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3.3.3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Учет работы транспорта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Транспортный 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eastAsia="Calibri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3.4. Обеспечение экологической безопасности и охрана окружающей среды</w:t>
            </w:r>
          </w:p>
        </w:tc>
      </w:tr>
      <w:tr>
        <w:trPr>
          <w:trHeight w:val="624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3.4.1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Обеспечение экологической безопасности и охрана окружающей среды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охраны окружающей среды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3.4.2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Учет выбросов и сбросов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охраны окружающей среды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776" w:hRule="atLeast"/>
        </w:trPr>
        <w:tc>
          <w:tcPr>
            <w:tcW w:w="14251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eastAsia="Calibri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3.5. Отчётность по техническому обслуживанию и ресурсному обеспечению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ascii="Times New Roman" w:hAnsi="Times New Roman"/>
                <w:kern w:val="0"/>
                <w:sz w:val="28"/>
                <w:szCs w:val="28"/>
                <w:lang w:eastAsia="en-US" w:bidi="ar-SA"/>
              </w:rPr>
              <w:t>3.5.1.</w:t>
            </w:r>
          </w:p>
        </w:tc>
        <w:tc>
          <w:tcPr>
            <w:tcW w:w="68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ascii="Times New Roman" w:hAnsi="Times New Roman"/>
                <w:kern w:val="0"/>
                <w:sz w:val="28"/>
                <w:szCs w:val="28"/>
                <w:lang w:eastAsia="en-US" w:bidi="ar-SA"/>
              </w:rPr>
              <w:t>Формирование сводного отчета по техническому обслуживанию и ресурсному обеспечению</w:t>
            </w:r>
          </w:p>
        </w:tc>
        <w:tc>
          <w:tcPr>
            <w:tcW w:w="32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ascii="Times New Roman" w:hAnsi="Times New Roman"/>
                <w:kern w:val="0"/>
                <w:sz w:val="28"/>
                <w:szCs w:val="28"/>
                <w:lang w:eastAsia="en-US" w:bidi="ar-SA"/>
              </w:rPr>
              <w:t>Экономический отдел</w:t>
            </w:r>
          </w:p>
        </w:tc>
        <w:tc>
          <w:tcPr>
            <w:tcW w:w="283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Calibri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4. Материально-техническое обеспечение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eastAsia="Calibri" w:cs="Times New Roman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4.1. Обеспечение складских запасов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4.1.1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Расчет потребности в материалах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снабжения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4.1.2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Поиск и выбор поставщиков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снабжения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4.1.3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Проведение тендеров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Тендерный комитет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4.1.4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Заключение договоров на поставку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Юридический 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4.1.5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Контроль исполнения договоров поставки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снабжения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eastAsia="Calibri" w:cs="Times New Roman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4.2. Обеспечение ресурсами рабочих мест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4.2.1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Доставка материальных ресурсов на склады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Склад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4.2.2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Учет движения материалов на складе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Склад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4.2.3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Нормирование складских запасов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снабжения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4.2.4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Инвентаризация складских запасов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Склад, бухгалтерия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94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Calibri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5. Маркетинг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eastAsia="Calibri" w:cs="Times New Roman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5.1. Целевые сегменты рынка сбыта (покупателей)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5.1.1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Сегментирование рынка продукции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маркетинга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5.1.2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Анализ рыночных тенденций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маркетинга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5.1.3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Мониторинг конкурентов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маркетинга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eastAsia="Calibri" w:cs="Times New Roman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5.2. Продвижение продукции (на целевых сегментах рынка сбыта)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5.2.1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Разработка рекламных кампаний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рекламы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5.2.2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Проведение рекламных мероприятий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рекламы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5.2.3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Участие в выставках и конференциях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маркетинга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5.2.4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Анализ эффективности рекламы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маркетинга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Calibri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6. Сбыт и сервисное обслуживание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eastAsia="Calibri" w:cs="Times New Roman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6.1. Сбыт продукции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6.1.1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Формирование плана продаж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продаж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6.1.2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Обработка заказов клиентов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продаж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6.1.3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Заключение договоров на поставку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продаж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6.1.4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Оформление отгрузочных документов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продаж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6.1.5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Формирование заказов на отгрузку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Склад готовой продукции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eastAsia="Calibri" w:cs="Times New Roman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6.2. Сервисное обслуживание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6.2.1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Консультирование клиентов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сервисной поддержки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6.2.2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Прием и обработка претензий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сервисной поддержки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6.2.3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Мониторинг удовлетворенности клиентов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маркетинга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Calibri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7. Финансы и бухгалтерский учет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eastAsia="Calibri" w:cs="Times New Roman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7.1. Финансовое планирование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7.1.1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Составление бюджетов доходов и расходов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Финансовый 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7.1.2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Планирование денежных потоков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Финансовый 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7.1.3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Инвестиционное планирование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Финансовый 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eastAsia="Calibri" w:cs="Times New Roman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7.2. Бухгалтерский учет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7.2.1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Учет хозяйственных операций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Бухгалтерия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7.2.2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Расчет себестоимости продукции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Бухгалтерия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7.2.3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Начисление заработной платы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Бухгалтерия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7.2.4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Учет основных средств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Бухгалтерия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7.2.5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Подготовка бухгалтерской отчетности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Бухгалтерия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eastAsia="Calibri" w:cs="Times New Roman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7.3. Налоговый учет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7.3.1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Расчет налогов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Бухгалтерия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7.3.2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Подготовка налоговой отчетности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Бухгалтерия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Calibri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8. Обеспечение трудовыми ресурсами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eastAsia="Calibri" w:cs="Times New Roman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8.1. Кадровое обеспечение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8.1.1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Планирование потребности в персонале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кадров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8.1.2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Поиск и подбор кандидатов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кадров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8.1.3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Оформление приема на работу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кадров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8.1.4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Организация адаптации новых сотрудников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кадров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eastAsia="Calibri" w:cs="Times New Roman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8.2. Обучение и повышение квалификации работников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8.2.1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Выявление потребности в обучении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развития персонала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8.2.2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Планирование обучения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развития персонала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8.2.3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Организация обучающих мероприятий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развития персонала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8.2.4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Оценка эффективности обучения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развития персонала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eastAsia="Calibri" w:cs="Times New Roman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8.3. Охрана труда, обеспечение условий деятельности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8.3.1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Проведение инструктажей по охране труда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охраны труда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8.3.2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Контроль соблюдения норм безопасности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охраны труда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8.3.3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Расследование несчастных случаев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охраны труда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8.3.4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Учет рабочего времени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кадров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Calibri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9. Информационное обеспечение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eastAsia="Calibri" w:cs="Times New Roman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9.1. Обеспечение информационными ресурсами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9.1.1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Планирование развития ИТ-инфраструктуры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ИТ-отдел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9.1.2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Администрирование серверов и сетей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ИТ-отдел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9.1.3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Поддержка пользователей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ИТ-отдел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9.1.4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Разработка и сопровождение ПО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ИТ-отдел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eastAsia="Calibri" w:cs="Times New Roman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9.2. Обеспечение информационной безопасности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9.2.1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Управление доступом к информации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ИБ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9.2.2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Мониторинг угроз информационной безопасности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ИБ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9.2.3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Расследование инцидентов ИБ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ИБ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Calibri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10. Управление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eastAsia="Calibri" w:cs="Times New Roman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10.1. Стратегическое управление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10.1.1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Определение стратегических целей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Совет директоров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10.1.2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Разработка стратегии развития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Совет директоров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10.1.3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Утверждение стратегических планов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Совет директоров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eastAsia="Calibri" w:cs="Times New Roman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10.2. Среднесрочное управление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10.2.1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Разработка среднесрочных планов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Экономический 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10.2.2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Бюджетирование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Финансовый 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10.2.3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Утверждение бюджетов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Финансовый 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eastAsia="Calibri" w:cs="Times New Roman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10.3. Оперативное управление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10.3.1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Контроль KPI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Экономический 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10.3.2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Принятие оперативных решений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Генеральный директор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</w:t>
            </w:r>
          </w:p>
        </w:tc>
      </w:tr>
    </w:tbl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tabs>
          <w:tab w:val="clear" w:pos="709"/>
          <w:tab w:val="left" w:pos="4508" w:leader="none"/>
        </w:tabs>
        <w:rPr>
          <w:rFonts w:ascii="Times New Roman" w:hAnsi="Times New Roman" w:cs="Times New Roman"/>
          <w:sz w:val="28"/>
          <w:szCs w:val="28"/>
        </w:rPr>
        <w:sectPr>
          <w:type w:val="nextPage"/>
          <w:pgSz w:orient="landscape" w:w="16838" w:h="11906"/>
          <w:pgMar w:left="1134" w:right="1134" w:gutter="0" w:header="0" w:top="1701" w:footer="0" w:bottom="851"/>
          <w:pgNumType w:fmt="decimal"/>
          <w:formProt w:val="false"/>
          <w:textDirection w:val="lrTb"/>
          <w:docGrid w:type="default" w:linePitch="360" w:charSpace="0"/>
        </w:sectPr>
      </w:pPr>
      <w:r>
        <w:rPr>
          <w:rFonts w:cs="Times New Roman" w:ascii="Times New Roman" w:hAnsi="Times New Roman"/>
          <w:sz w:val="28"/>
          <w:szCs w:val="28"/>
        </w:rPr>
        <w:tab/>
      </w:r>
    </w:p>
    <w:p>
      <w:pPr>
        <w:pStyle w:val="Normal"/>
        <w:jc w:val="end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2.4. Нормализованная диаграмма связей исполнителей и бизнес-задач.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Для оптимизации организационной структуры ПАО «Северсталь» используется структурный подход – приведение во взаимное соответствие организационной структуры и полного перечня задач или работ бизнес-процессов. Целью такой оптимизации является согласование иерархической структуры предприятия с иерархической структурой бизнес-процессов, причем структура предприятия рассматривается не только как иерархия структурных элементов, но и как иерархия исполнителей задач бизнес-процессов.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Для проведения оптимизации структуры ПАО «Северсталь» была проанализирована организационная структура компании, распределение функций между различными подразделениями, выявлены области ответственности.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Нормализованная диаграмма связей исполнителей и бизнес-задач, построенная на основе данных таблицы 2.2, представлена на рисунке 2.1.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3853180" cy="8690610"/>
            <wp:effectExtent l="0" t="0" r="0" b="0"/>
            <wp:docPr id="6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19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3180" cy="86906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Рис.2.1.</w:t>
      </w:r>
      <w:r>
        <w:rPr/>
        <w:t xml:space="preserve"> </w:t>
      </w:r>
      <w:r>
        <w:rPr>
          <w:rFonts w:cs="Times New Roman" w:ascii="Times New Roman" w:hAnsi="Times New Roman"/>
        </w:rPr>
        <w:t>Нормализованная диаграмма связей исполнителей и бизнес-задач ПАО «Северсталь»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2.5. Организационно-логические и временные связи решения бизнес-задач.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Организационно-логическая сущность бизнес-задач показывает, в какой последовательности должны решаться задачи, чтобы получить конечный бизнес-продукт процесса.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Для описания ОЛС в курсовом проекте используется нотация IDEF3, которая позволяет отобразить сценарий выполнения процесса. Основными элементами IDEF3 являются: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1) </w:t>
      </w:r>
      <w:r>
        <w:rPr>
          <w:rFonts w:cs="Times New Roman" w:ascii="Times New Roman" w:hAnsi="Times New Roman"/>
          <w:sz w:val="28"/>
          <w:szCs w:val="28"/>
          <w:lang w:val="en-US"/>
        </w:rPr>
        <w:t>Unit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val="en-US"/>
        </w:rPr>
        <w:t>of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val="en-US"/>
        </w:rPr>
        <w:t>work</w:t>
      </w:r>
      <w:r>
        <w:rPr>
          <w:rFonts w:cs="Times New Roman" w:ascii="Times New Roman" w:hAnsi="Times New Roman"/>
          <w:sz w:val="28"/>
          <w:szCs w:val="28"/>
        </w:rPr>
        <w:t xml:space="preserve"> – единица работы;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2) </w:t>
      </w:r>
      <w:r>
        <w:rPr>
          <w:rFonts w:cs="Times New Roman" w:ascii="Times New Roman" w:hAnsi="Times New Roman"/>
          <w:sz w:val="28"/>
          <w:szCs w:val="28"/>
          <w:lang w:val="en-US"/>
        </w:rPr>
        <w:t>Links</w:t>
      </w:r>
      <w:r>
        <w:rPr>
          <w:rFonts w:cs="Times New Roman" w:ascii="Times New Roman" w:hAnsi="Times New Roman"/>
          <w:sz w:val="28"/>
          <w:szCs w:val="28"/>
        </w:rPr>
        <w:t xml:space="preserve"> – связи – показывают отношение между разными бизнес-задачами;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3) Junctions – перекрестки - показывают ветвление логики процесса.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Модель </w:t>
      </w:r>
      <w:r>
        <w:rPr>
          <w:rFonts w:cs="Times New Roman" w:ascii="Times New Roman" w:hAnsi="Times New Roman"/>
          <w:sz w:val="28"/>
          <w:szCs w:val="28"/>
          <w:lang w:val="en-US"/>
        </w:rPr>
        <w:t>IDEF</w:t>
      </w:r>
      <w:r>
        <w:rPr>
          <w:rFonts w:cs="Times New Roman" w:ascii="Times New Roman" w:hAnsi="Times New Roman"/>
          <w:sz w:val="28"/>
          <w:szCs w:val="28"/>
        </w:rPr>
        <w:t>3 использует следующие основные объекты (таблица 2.3):</w:t>
      </w:r>
    </w:p>
    <w:p>
      <w:pPr>
        <w:pStyle w:val="Normal"/>
        <w:spacing w:lineRule="auto" w:line="360" w:before="0" w:after="1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2.3 - основные объекты в </w:t>
      </w:r>
      <w:r>
        <w:rPr>
          <w:rFonts w:cs="Times New Roman" w:ascii="Times New Roman" w:hAnsi="Times New Roman"/>
          <w:sz w:val="28"/>
          <w:szCs w:val="28"/>
          <w:lang w:val="en-US"/>
        </w:rPr>
        <w:t>IDEF</w:t>
      </w:r>
      <w:r>
        <w:rPr>
          <w:rFonts w:cs="Times New Roman" w:ascii="Times New Roman" w:hAnsi="Times New Roman"/>
          <w:sz w:val="28"/>
          <w:szCs w:val="28"/>
        </w:rPr>
        <w:t>3-схемах</w:t>
      </w:r>
    </w:p>
    <w:tbl>
      <w:tblPr>
        <w:tblW w:w="934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114"/>
        <w:gridCol w:w="3115"/>
        <w:gridCol w:w="3115"/>
      </w:tblGrid>
      <w:tr>
        <w:trPr/>
        <w:tc>
          <w:tcPr>
            <w:tcW w:w="31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Обозначение объекта</w:t>
            </w:r>
          </w:p>
        </w:tc>
        <w:tc>
          <w:tcPr>
            <w:tcW w:w="3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Наименование</w:t>
            </w:r>
          </w:p>
        </w:tc>
        <w:tc>
          <w:tcPr>
            <w:tcW w:w="3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Содержание</w:t>
            </w:r>
          </w:p>
        </w:tc>
      </w:tr>
      <w:tr>
        <w:trPr/>
        <w:tc>
          <w:tcPr>
            <w:tcW w:w="31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/>
              <w:drawing>
                <wp:inline distT="0" distB="0" distL="0" distR="0">
                  <wp:extent cx="962025" cy="866775"/>
                  <wp:effectExtent l="0" t="0" r="0" b="0"/>
                  <wp:docPr id="7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Рисунок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2025" cy="8667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Модель задачи</w:t>
            </w:r>
          </w:p>
        </w:tc>
        <w:tc>
          <w:tcPr>
            <w:tcW w:w="3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Объект служит для описания задач или работ, выполняемых какими-либо исполнителями бизнес-процесса</w:t>
            </w:r>
          </w:p>
        </w:tc>
      </w:tr>
      <w:tr>
        <w:trPr/>
        <w:tc>
          <w:tcPr>
            <w:tcW w:w="31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/>
              <w:drawing>
                <wp:inline distT="0" distB="0" distL="0" distR="0">
                  <wp:extent cx="581025" cy="581025"/>
                  <wp:effectExtent l="0" t="0" r="0" b="0"/>
                  <wp:docPr id="8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Рисунок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1025" cy="5810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Логическое «И»</w:t>
            </w:r>
          </w:p>
        </w:tc>
        <w:tc>
          <w:tcPr>
            <w:tcW w:w="3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Логический оператор, определяющий связи между задачами в рамках бизнес-процесса. Позволяет описать ветвление процесса. Означает одновременное начало или завершение всех представленных задач бизнес-процесса.</w:t>
            </w:r>
          </w:p>
        </w:tc>
      </w:tr>
      <w:tr>
        <w:trPr/>
        <w:tc>
          <w:tcPr>
            <w:tcW w:w="31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/>
              <w:drawing>
                <wp:inline distT="0" distB="0" distL="0" distR="0">
                  <wp:extent cx="581025" cy="590550"/>
                  <wp:effectExtent l="0" t="0" r="0" b="0"/>
                  <wp:docPr id="9" name="Рисунок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Рисунок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1025" cy="5905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Логическое «ИЛИ»</w:t>
            </w:r>
          </w:p>
        </w:tc>
        <w:tc>
          <w:tcPr>
            <w:tcW w:w="3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 xml:space="preserve">Логический оператор, определяющий связи между задачами в рамках бизнес-процесса. Позволяет описать ветвление процесса. Означает одновременное начало или завершение хотя бы одной из представленных задач бизнес-процесса. </w:t>
            </w:r>
          </w:p>
        </w:tc>
      </w:tr>
      <w:tr>
        <w:trPr/>
        <w:tc>
          <w:tcPr>
            <w:tcW w:w="31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/>
              <w:drawing>
                <wp:inline distT="0" distB="0" distL="0" distR="0">
                  <wp:extent cx="581025" cy="581025"/>
                  <wp:effectExtent l="0" t="0" r="0" b="0"/>
                  <wp:docPr id="10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Рисунок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1025" cy="5810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Логическое исключающее «ИЛИ»</w:t>
            </w:r>
          </w:p>
        </w:tc>
        <w:tc>
          <w:tcPr>
            <w:tcW w:w="3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Логический оператор, определяющий связи между задачами в рамках бизнес-процесса. Позволяет описать ветвление процесса. Означает начало или завершение только одной из представленных задач бизнес-процесса.</w:t>
            </w:r>
          </w:p>
        </w:tc>
      </w:tr>
      <w:tr>
        <w:trPr/>
        <w:tc>
          <w:tcPr>
            <w:tcW w:w="31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drawing>
                <wp:anchor distT="0" distB="0" distL="114300" distR="114300" simplePos="0" relativeHeight="17" behindDoc="0" locked="0" layoutInCell="1" allowOverlap="1">
                  <wp:simplePos x="0" y="0"/>
                  <wp:positionH relativeFrom="column">
                    <wp:posOffset>407035</wp:posOffset>
                  </wp:positionH>
                  <wp:positionV relativeFrom="paragraph">
                    <wp:posOffset>176530</wp:posOffset>
                  </wp:positionV>
                  <wp:extent cx="990600" cy="228600"/>
                  <wp:effectExtent l="0" t="0" r="0" b="0"/>
                  <wp:wrapSquare wrapText="bothSides"/>
                  <wp:docPr id="11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Рисунок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2286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Стрелка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предшествования</w:t>
            </w:r>
          </w:p>
        </w:tc>
        <w:tc>
          <w:tcPr>
            <w:tcW w:w="3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Показывает временную зависимость между задачами: задача А должна завершиться до начала задачи Б.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0" w:after="160"/>
        <w:ind w:firstLine="709"/>
        <w:rPr/>
      </w:pPr>
      <w:r>
        <w:rPr/>
        <w:t>На рисунках 2.2 – 2.7 показаны схемы основных бизнес-процессов предприятия, составленные на основе таблицы 2.2:</w:t>
      </w:r>
    </w:p>
    <w:p>
      <w:pPr>
        <w:pStyle w:val="Normal"/>
        <w:spacing w:before="0" w:after="160"/>
        <w:ind w:firstLine="709"/>
        <w:rPr/>
      </w:pPr>
      <w:r>
        <w:rPr/>
      </w:r>
    </w:p>
    <w:p>
      <w:pPr>
        <w:pStyle w:val="Normal"/>
        <w:spacing w:before="0" w:after="160"/>
        <w:rPr/>
      </w:pPr>
      <w:r>
        <w:rPr/>
        <w:drawing>
          <wp:inline distT="0" distB="0" distL="0" distR="0">
            <wp:extent cx="5939790" cy="2592070"/>
            <wp:effectExtent l="0" t="0" r="0" b="0"/>
            <wp:docPr id="1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592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Рис. 2.2. Организационно-логическая схема бизнес-процесса «Подготовка производства»</w:t>
      </w:r>
    </w:p>
    <w:p>
      <w:pPr>
        <w:pStyle w:val="Normal"/>
        <w:spacing w:before="0" w:after="16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before="0" w:after="160"/>
        <w:jc w:val="center"/>
        <w:rPr>
          <w:rFonts w:ascii="Times New Roman" w:hAnsi="Times New Roman" w:cs="Times New Roman"/>
        </w:rPr>
      </w:pPr>
      <w:r>
        <w:rPr/>
        <w:drawing>
          <wp:inline distT="0" distB="0" distL="0" distR="0">
            <wp:extent cx="5939790" cy="483870"/>
            <wp:effectExtent l="0" t="0" r="0" b="0"/>
            <wp:docPr id="1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83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Рис. 2.3. Организационно-логическая схема бизнес-процесса «Основное производство»</w:t>
      </w:r>
    </w:p>
    <w:p>
      <w:pPr>
        <w:pStyle w:val="Normal"/>
        <w:spacing w:before="0" w:after="16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before="0" w:after="160"/>
        <w:jc w:val="center"/>
        <w:rPr>
          <w:rFonts w:ascii="Times New Roman" w:hAnsi="Times New Roman" w:cs="Times New Roman"/>
        </w:rPr>
      </w:pPr>
      <w:r>
        <w:rPr/>
        <w:drawing>
          <wp:inline distT="0" distB="0" distL="0" distR="0">
            <wp:extent cx="5939790" cy="3213100"/>
            <wp:effectExtent l="0" t="0" r="0" b="0"/>
            <wp:docPr id="1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213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Рис. 2.4. Организационно-логическая схема бизнес-процесса «Вспомогательное производство»</w:t>
      </w:r>
    </w:p>
    <w:p>
      <w:pPr>
        <w:pStyle w:val="Normal"/>
        <w:spacing w:before="0" w:after="16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before="0" w:after="160"/>
        <w:jc w:val="center"/>
        <w:rPr>
          <w:rFonts w:ascii="Times New Roman" w:hAnsi="Times New Roman" w:cs="Times New Roman"/>
        </w:rPr>
      </w:pPr>
      <w:r>
        <w:rPr/>
        <w:drawing>
          <wp:inline distT="0" distB="0" distL="0" distR="0">
            <wp:extent cx="5939790" cy="2525395"/>
            <wp:effectExtent l="0" t="0" r="0" b="0"/>
            <wp:docPr id="15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525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Рис. 2.5. Организационно-логическая схема бизнес-процесса «Материально-техническое обеспечение»</w:t>
      </w:r>
    </w:p>
    <w:p>
      <w:pPr>
        <w:pStyle w:val="Normal"/>
        <w:spacing w:before="0" w:after="16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before="0" w:after="160"/>
        <w:jc w:val="center"/>
        <w:rPr>
          <w:rFonts w:ascii="Times New Roman" w:hAnsi="Times New Roman" w:cs="Times New Roman"/>
        </w:rPr>
      </w:pPr>
      <w:r>
        <w:rPr/>
        <w:drawing>
          <wp:inline distT="0" distB="0" distL="0" distR="0">
            <wp:extent cx="5939790" cy="880745"/>
            <wp:effectExtent l="0" t="0" r="0" b="0"/>
            <wp:docPr id="16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880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Рис. 2.6. Организационно-логическая схема бизнес-процесса «Сбыт и сервисное обслуживание»</w:t>
      </w:r>
    </w:p>
    <w:p>
      <w:pPr>
        <w:pStyle w:val="Normal"/>
        <w:spacing w:before="0" w:after="16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before="0" w:after="1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GoBack"/>
      <w:bookmarkEnd w:id="0"/>
      <w:r>
        <w:rPr>
          <w:rFonts w:cs="Times New Roman" w:ascii="Times New Roman" w:hAnsi="Times New Roman"/>
          <w:b/>
          <w:bCs/>
          <w:sz w:val="28"/>
          <w:szCs w:val="28"/>
        </w:rPr>
        <w:t>Список использованных источников</w:t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firstLine="680" w:start="0" w:end="0"/>
        <w:jc w:val="start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1) Официальный сайт ФНС России. Выписка из Единого государственного реестра юридических лиц. — [Электронный ресурс]: https://egrul.nalog.ru/index.html (дата обращения: 15.03.2026).</w:t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firstLine="680" w:start="0" w:end="0"/>
        <w:jc w:val="start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 xml:space="preserve">2) Официальный сайт ПАО «Северсталь». Отчёт об устойчивом развитии за 2022 год. — [Электронный ресурс]: </w:t>
      </w:r>
      <w:hyperlink r:id="rId19">
        <w:r>
          <w:rPr>
            <w:rStyle w:val="Hyperlink"/>
            <w:rFonts w:cs="Times New Roman" w:ascii="Times New Roman" w:hAnsi="Times New Roman"/>
            <w:b w:val="false"/>
            <w:bCs w:val="false"/>
            <w:sz w:val="28"/>
            <w:szCs w:val="28"/>
          </w:rPr>
          <w:t>https://severstal.com/upload/iblock/ce6/435fiodtc2supz33n6m8x7oanxs98w37/Severstal_Sustainability_Report_2022.pdf</w:t>
        </w:r>
      </w:hyperlink>
    </w:p>
    <w:p>
      <w:pPr>
        <w:pStyle w:val="Normal"/>
        <w:widowControl/>
        <w:suppressAutoHyphens w:val="true"/>
        <w:bidi w:val="0"/>
        <w:spacing w:lineRule="auto" w:line="360" w:before="0" w:after="160"/>
        <w:ind w:firstLine="680" w:start="0" w:end="0"/>
        <w:jc w:val="start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 xml:space="preserve">3) Официальный сайт ПАО «Северсталь». Интегрированный отчёт за 2023 год. — [Электронный ресурс]: </w:t>
      </w:r>
      <w:hyperlink r:id="rId20">
        <w:r>
          <w:rPr>
            <w:rStyle w:val="Hyperlink"/>
            <w:rFonts w:cs="Times New Roman" w:ascii="Times New Roman" w:hAnsi="Times New Roman"/>
            <w:b w:val="false"/>
            <w:bCs w:val="false"/>
            <w:sz w:val="28"/>
            <w:szCs w:val="28"/>
          </w:rPr>
          <w:t>https://severstal.com/upload/iblock/02d/aqq3ad3fyd6buce9dbvsaikkartx8u2s/ARA1086_Otchet_SS_2023_RU_05_03_25_NaSayt.pdf</w:t>
        </w:r>
      </w:hyperlink>
    </w:p>
    <w:p>
      <w:pPr>
        <w:pStyle w:val="Normal"/>
        <w:widowControl/>
        <w:suppressAutoHyphens w:val="true"/>
        <w:bidi w:val="0"/>
        <w:spacing w:lineRule="auto" w:line="360" w:before="0" w:after="160"/>
        <w:ind w:firstLine="680" w:start="0" w:end="0"/>
        <w:jc w:val="start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 xml:space="preserve">4) Официальный сайт ПАО «Северсталь». Отчёт об устойчивом развитии за 2024 год. — [Электронный ресурс]: https://severstal.com/upload/iblock/e06/5dgmpw1hykyis9ri0aea7jykwudvy25c/Severstal_Sustainability_Report_2024.pdf </w:t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firstLine="680" w:start="0" w:end="0"/>
        <w:jc w:val="start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 xml:space="preserve">5) Официальный сайт ПАО «Северсталь». Годовой отчёт за 2021 год. — [Электронный ресурс]: </w:t>
      </w:r>
      <w:hyperlink r:id="rId21">
        <w:r>
          <w:rPr>
            <w:rStyle w:val="Hyperlink"/>
            <w:rFonts w:cs="Times New Roman" w:ascii="Times New Roman" w:hAnsi="Times New Roman"/>
            <w:b w:val="false"/>
            <w:bCs w:val="false"/>
            <w:sz w:val="28"/>
            <w:szCs w:val="28"/>
          </w:rPr>
          <w:t>https://severstal.com/upload/iblock/190/Annual_Report_2021_RUS.pdf</w:t>
        </w:r>
      </w:hyperlink>
    </w:p>
    <w:p>
      <w:pPr>
        <w:pStyle w:val="Normal"/>
        <w:widowControl/>
        <w:suppressAutoHyphens w:val="true"/>
        <w:bidi w:val="0"/>
        <w:spacing w:lineRule="auto" w:line="360" w:before="0" w:after="160"/>
        <w:ind w:firstLine="680" w:start="0" w:end="0"/>
        <w:jc w:val="start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6) Смирнов Ю.Н. Учебный курс «Проектирование информационных систем». Основные бизнес-задачи предприятия. — ФГБОУ ВО КГЭУ, Moodle2. — [Электронный ресурс]: https://lms2.kgeu.ru/pluginfile.php/131479/mod_resource/content/1/%2305%20Основные%20бизнес-задачи%20предприятия%2B.pdf</w:t>
      </w:r>
    </w:p>
    <w:sectPr>
      <w:type w:val="nextPage"/>
      <w:pgSz w:w="11906" w:h="16838"/>
      <w:pgMar w:left="1701" w:right="851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Times New Roman">
    <w:charset w:val="01"/>
    <w:family w:val="roman"/>
    <w:pitch w:val="default"/>
  </w:font>
</w:fonts>
</file>

<file path=word/settings.xml><?xml version="1.0" encoding="utf-8"?>
<w:settings xmlns:w="http://schemas.openxmlformats.org/wordprocessingml/2006/main">
  <w:zoom w:percent="15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360"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BodyText"/>
    <w:uiPriority w:val="10"/>
    <w:qFormat/>
    <w:pPr>
      <w:keepNext w:val="true"/>
      <w:spacing w:before="240" w:after="120"/>
    </w:pPr>
    <w:rPr>
      <w:rFonts w:ascii="Liberation Sans" w:hAnsi="Liberation Sans" w:eastAsia="Noto Sans CJK SC"/>
      <w:sz w:val="28"/>
      <w:szCs w:val="28"/>
    </w:rPr>
  </w:style>
  <w:style w:type="paragraph" w:styleId="IndexHeading">
    <w:name w:val="index heading"/>
    <w:basedOn w:val="Normal"/>
    <w:qFormat/>
    <w:pPr>
      <w:suppressLineNumbers/>
    </w:pPr>
    <w:rPr/>
  </w:style>
  <w:style w:type="paragraph" w:styleId="user2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3">
    <w:name w:val="Заголовок таблицы (user)"/>
    <w:basedOn w:val="user2"/>
    <w:qFormat/>
    <w:pPr>
      <w:suppressLineNumbers/>
      <w:jc w:val="center"/>
    </w:pPr>
    <w:rPr>
      <w:b/>
      <w:bCs/>
    </w:rPr>
  </w:style>
  <w:style w:type="paragraph" w:styleId="Style16">
    <w:name w:val="Содержимое таблицы"/>
    <w:basedOn w:val="Normal"/>
    <w:qFormat/>
    <w:pPr>
      <w:widowControl w:val="false"/>
      <w:suppressLineNumbers/>
    </w:pPr>
    <w:rPr/>
  </w:style>
  <w:style w:type="paragraph" w:styleId="Style17">
    <w:name w:val="Заголовок таблицы"/>
    <w:basedOn w:val="Style16"/>
    <w:qFormat/>
    <w:pPr>
      <w:suppressLineNumbers/>
      <w:jc w:val="center"/>
    </w:pPr>
    <w:rPr>
      <w:b/>
      <w:bCs/>
    </w:rPr>
  </w:style>
  <w:style w:type="numbering" w:styleId="user4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severstal.com/rus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image" Target="media/image15.png"/><Relationship Id="rId18" Type="http://schemas.openxmlformats.org/officeDocument/2006/relationships/image" Target="media/image16.png"/><Relationship Id="rId19" Type="http://schemas.openxmlformats.org/officeDocument/2006/relationships/hyperlink" Target="https://severstal.com/upload/iblock/ce6/435fiodtc2supz33n6m8x7oanxs98w37/Severstal_Sustainability_Report_2022.pdf" TargetMode="External"/><Relationship Id="rId20" Type="http://schemas.openxmlformats.org/officeDocument/2006/relationships/hyperlink" Target="https://severstal.com/upload/iblock/02d/aqq3ad3fyd6buce9dbvsaikkartx8u2s/ARA1086_Otchet_SS_2023_RU_05_03_25_NaSayt.pdf" TargetMode="External"/><Relationship Id="rId21" Type="http://schemas.openxmlformats.org/officeDocument/2006/relationships/hyperlink" Target="https://severstal.com/upload/iblock/190/Annual_Report_2021_RUS.pdf" TargetMode="Externa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Application>LibreOffice/25.8.5.2$Linux_X86_64 LibreOffice_project/252c20f6956e3db0b52e6e2f9dda67263513c8fc</Application>
  <AppVersion>15.0000</AppVersion>
  <Pages>50</Pages>
  <Words>5433</Words>
  <Characters>40542</Characters>
  <CharactersWithSpaces>45069</CharactersWithSpaces>
  <Paragraphs>977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2026-03-08T22:09:00Z</dcterms:created>
  <dc:creator/>
  <dc:description/>
  <dc:language>ru-RU</dc:language>
  <cp:lastModifiedBy/>
  <dcterms:modified xsi:type="dcterms:W3CDTF">2026-03-16T13:15:39Z</dcterms:modified>
  <cp:revision>49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